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E7B3" w14:textId="77777777" w:rsidR="0051504B" w:rsidRPr="00812CD8" w:rsidRDefault="0051504B" w:rsidP="0051504B">
      <w:pPr>
        <w:tabs>
          <w:tab w:val="left" w:pos="142"/>
          <w:tab w:val="left" w:pos="2552"/>
        </w:tabs>
        <w:jc w:val="both"/>
        <w:rPr>
          <w:b/>
          <w:bCs/>
          <w:sz w:val="28"/>
          <w:szCs w:val="28"/>
        </w:rPr>
      </w:pPr>
    </w:p>
    <w:p w14:paraId="0418A38F" w14:textId="77777777" w:rsidR="0051504B" w:rsidRPr="00812CD8" w:rsidRDefault="0051504B" w:rsidP="0051504B">
      <w:pPr>
        <w:tabs>
          <w:tab w:val="left" w:pos="142"/>
        </w:tabs>
        <w:jc w:val="center"/>
        <w:rPr>
          <w:b/>
          <w:bCs/>
          <w:i/>
          <w:sz w:val="28"/>
          <w:szCs w:val="28"/>
        </w:rPr>
      </w:pPr>
      <w:r>
        <w:rPr>
          <w:b/>
          <w:sz w:val="28"/>
          <w:szCs w:val="28"/>
        </w:rPr>
        <w:t>ARRÊTÉ</w:t>
      </w:r>
      <w:r w:rsidRPr="00812CD8">
        <w:rPr>
          <w:b/>
          <w:sz w:val="28"/>
          <w:szCs w:val="28"/>
        </w:rPr>
        <w:t xml:space="preserve"> PORTANT ATTRIBUTION D’</w:t>
      </w:r>
      <w:r>
        <w:rPr>
          <w:b/>
          <w:sz w:val="28"/>
          <w:szCs w:val="28"/>
        </w:rPr>
        <w:t>UNE INDEMNITÉ</w:t>
      </w:r>
      <w:r w:rsidRPr="00812CD8">
        <w:rPr>
          <w:b/>
          <w:sz w:val="28"/>
          <w:szCs w:val="28"/>
        </w:rPr>
        <w:t xml:space="preserve"> </w:t>
      </w:r>
      <w:r>
        <w:rPr>
          <w:b/>
          <w:sz w:val="28"/>
          <w:szCs w:val="28"/>
        </w:rPr>
        <w:t>COMPENSATRICE DE LA HAUSSE DE LA</w:t>
      </w:r>
      <w:r w:rsidRPr="0051504B">
        <w:rPr>
          <w:rFonts w:ascii="Arial" w:eastAsia="Calibri" w:hAnsi="Arial" w:cs="Arial"/>
          <w:b/>
          <w:sz w:val="28"/>
          <w:szCs w:val="28"/>
          <w:lang w:eastAsia="en-US"/>
        </w:rPr>
        <w:t xml:space="preserve"> </w:t>
      </w:r>
      <w:r w:rsidRPr="0051504B">
        <w:rPr>
          <w:b/>
          <w:sz w:val="28"/>
          <w:szCs w:val="28"/>
        </w:rPr>
        <w:t>CONTRIBUTION SOCIALE GENERALISEE</w:t>
      </w:r>
      <w:r>
        <w:rPr>
          <w:b/>
          <w:sz w:val="28"/>
          <w:szCs w:val="28"/>
        </w:rPr>
        <w:t xml:space="preserve"> (CSG)</w:t>
      </w:r>
    </w:p>
    <w:p w14:paraId="40475D38" w14:textId="77777777" w:rsidR="0051504B" w:rsidRPr="00812CD8" w:rsidRDefault="0051504B" w:rsidP="0051504B">
      <w:pPr>
        <w:tabs>
          <w:tab w:val="left" w:pos="142"/>
          <w:tab w:val="left" w:pos="284"/>
          <w:tab w:val="left" w:pos="2552"/>
        </w:tabs>
        <w:jc w:val="both"/>
        <w:rPr>
          <w:b/>
          <w:i/>
          <w:iCs/>
          <w:sz w:val="28"/>
          <w:szCs w:val="28"/>
        </w:rPr>
      </w:pPr>
    </w:p>
    <w:p w14:paraId="0CD016FF" w14:textId="77777777" w:rsidR="0051504B" w:rsidRPr="00F16DBA" w:rsidRDefault="0051504B" w:rsidP="0051504B">
      <w:pPr>
        <w:tabs>
          <w:tab w:val="left" w:pos="142"/>
          <w:tab w:val="left" w:pos="284"/>
          <w:tab w:val="left" w:pos="2552"/>
        </w:tabs>
        <w:jc w:val="center"/>
        <w:rPr>
          <w:rStyle w:val="lev"/>
          <w:sz w:val="24"/>
          <w:szCs w:val="24"/>
        </w:rPr>
      </w:pPr>
      <w:r w:rsidRPr="00F16DBA">
        <w:rPr>
          <w:b/>
          <w:i/>
          <w:iCs/>
          <w:sz w:val="24"/>
          <w:szCs w:val="24"/>
        </w:rPr>
        <w:t>Les mentions en italiques constituent des commentaires destinés à faciliter la rédaction de l’arrêté. Ils doivent être supprimés de l’arrêté définitif.</w:t>
      </w:r>
    </w:p>
    <w:p w14:paraId="260EEC76" w14:textId="77777777" w:rsidR="0051504B" w:rsidRPr="00F16DBA" w:rsidRDefault="0051504B" w:rsidP="0051504B">
      <w:pPr>
        <w:tabs>
          <w:tab w:val="left" w:pos="142"/>
          <w:tab w:val="left" w:pos="2268"/>
          <w:tab w:val="left" w:pos="2552"/>
        </w:tabs>
        <w:jc w:val="both"/>
        <w:rPr>
          <w:sz w:val="24"/>
          <w:szCs w:val="24"/>
        </w:rPr>
      </w:pPr>
    </w:p>
    <w:p w14:paraId="25922AB5" w14:textId="77777777" w:rsidR="0051504B" w:rsidRPr="00F16DBA" w:rsidRDefault="0051504B" w:rsidP="0051504B">
      <w:pPr>
        <w:tabs>
          <w:tab w:val="left" w:pos="142"/>
        </w:tabs>
        <w:jc w:val="both"/>
        <w:rPr>
          <w:sz w:val="24"/>
          <w:szCs w:val="24"/>
        </w:rPr>
      </w:pPr>
    </w:p>
    <w:p w14:paraId="737D324D" w14:textId="77777777" w:rsidR="0051504B" w:rsidRPr="00F16DBA" w:rsidRDefault="0051504B" w:rsidP="0051504B">
      <w:pPr>
        <w:tabs>
          <w:tab w:val="left" w:pos="142"/>
        </w:tabs>
        <w:jc w:val="both"/>
        <w:rPr>
          <w:sz w:val="24"/>
          <w:szCs w:val="24"/>
        </w:rPr>
      </w:pPr>
      <w:r w:rsidRPr="00F16DBA">
        <w:rPr>
          <w:sz w:val="24"/>
          <w:szCs w:val="24"/>
        </w:rPr>
        <w:t xml:space="preserve">Le Maire </w:t>
      </w:r>
      <w:r w:rsidRPr="00FB1E8B">
        <w:rPr>
          <w:i/>
          <w:sz w:val="24"/>
          <w:szCs w:val="24"/>
        </w:rPr>
        <w:t>(ou le Président)</w:t>
      </w:r>
      <w:r w:rsidRPr="00F16DBA">
        <w:rPr>
          <w:sz w:val="24"/>
          <w:szCs w:val="24"/>
        </w:rPr>
        <w:t xml:space="preserve"> de ...,</w:t>
      </w:r>
    </w:p>
    <w:p w14:paraId="24FF97EE" w14:textId="77777777" w:rsidR="0051504B" w:rsidRPr="004B2F79" w:rsidRDefault="0051504B" w:rsidP="0051504B">
      <w:pPr>
        <w:tabs>
          <w:tab w:val="left" w:pos="6216"/>
        </w:tabs>
        <w:rPr>
          <w:rFonts w:ascii="Trebuchet MS" w:hAnsi="Trebuchet MS"/>
          <w:b/>
          <w:bCs/>
          <w:sz w:val="24"/>
          <w:szCs w:val="24"/>
        </w:rPr>
      </w:pPr>
    </w:p>
    <w:p w14:paraId="72309FF7" w14:textId="6AA9246A" w:rsidR="0051504B" w:rsidRPr="0093217A" w:rsidRDefault="00DD2D7B" w:rsidP="0051504B">
      <w:pPr>
        <w:tabs>
          <w:tab w:val="left" w:pos="6216"/>
        </w:tabs>
        <w:jc w:val="both"/>
        <w:rPr>
          <w:sz w:val="24"/>
          <w:szCs w:val="24"/>
        </w:rPr>
      </w:pPr>
      <w:r>
        <w:rPr>
          <w:sz w:val="24"/>
          <w:szCs w:val="24"/>
        </w:rPr>
        <w:t>Vu le code général de la fonction publique,</w:t>
      </w:r>
    </w:p>
    <w:p w14:paraId="4E75B879" w14:textId="77777777" w:rsidR="0051504B" w:rsidRPr="0093217A" w:rsidRDefault="0051504B" w:rsidP="0051504B">
      <w:pPr>
        <w:tabs>
          <w:tab w:val="left" w:pos="6216"/>
        </w:tabs>
        <w:jc w:val="both"/>
        <w:rPr>
          <w:sz w:val="24"/>
          <w:szCs w:val="24"/>
        </w:rPr>
      </w:pPr>
    </w:p>
    <w:p w14:paraId="1532C99C" w14:textId="77777777" w:rsidR="0051504B" w:rsidRPr="0093217A" w:rsidRDefault="0051504B" w:rsidP="0051504B">
      <w:pPr>
        <w:tabs>
          <w:tab w:val="left" w:pos="6216"/>
        </w:tabs>
        <w:jc w:val="both"/>
        <w:rPr>
          <w:sz w:val="24"/>
          <w:szCs w:val="24"/>
        </w:rPr>
      </w:pPr>
      <w:r w:rsidRPr="0093217A">
        <w:rPr>
          <w:sz w:val="24"/>
          <w:szCs w:val="24"/>
        </w:rPr>
        <w:t xml:space="preserve">Vu </w:t>
      </w:r>
      <w:r w:rsidRPr="0051504B">
        <w:rPr>
          <w:sz w:val="24"/>
          <w:szCs w:val="24"/>
        </w:rPr>
        <w:t>l’article 113 de la loi n° 2017-1837 du 30 décembre 2017de finances pour 2018</w:t>
      </w:r>
      <w:r w:rsidRPr="0093217A">
        <w:rPr>
          <w:sz w:val="24"/>
          <w:szCs w:val="24"/>
        </w:rPr>
        <w:t>,</w:t>
      </w:r>
    </w:p>
    <w:p w14:paraId="586D1C5E" w14:textId="77777777" w:rsidR="0051504B" w:rsidRPr="0093217A" w:rsidRDefault="0051504B" w:rsidP="0051504B">
      <w:pPr>
        <w:tabs>
          <w:tab w:val="left" w:pos="6216"/>
        </w:tabs>
        <w:jc w:val="both"/>
        <w:rPr>
          <w:sz w:val="24"/>
          <w:szCs w:val="24"/>
        </w:rPr>
      </w:pPr>
    </w:p>
    <w:p w14:paraId="6CE632EA" w14:textId="77777777" w:rsidR="0051504B" w:rsidRPr="0051504B" w:rsidRDefault="0051504B" w:rsidP="0051504B">
      <w:pPr>
        <w:tabs>
          <w:tab w:val="left" w:pos="6216"/>
        </w:tabs>
        <w:jc w:val="both"/>
        <w:rPr>
          <w:sz w:val="24"/>
          <w:szCs w:val="24"/>
        </w:rPr>
      </w:pPr>
      <w:r w:rsidRPr="0093217A">
        <w:rPr>
          <w:sz w:val="24"/>
          <w:szCs w:val="24"/>
        </w:rPr>
        <w:t xml:space="preserve">Vu </w:t>
      </w:r>
      <w:r>
        <w:rPr>
          <w:sz w:val="24"/>
          <w:szCs w:val="24"/>
        </w:rPr>
        <w:t xml:space="preserve">le </w:t>
      </w:r>
      <w:r>
        <w:rPr>
          <w:bCs/>
          <w:sz w:val="24"/>
          <w:szCs w:val="24"/>
        </w:rPr>
        <w:t>d</w:t>
      </w:r>
      <w:r w:rsidRPr="0051504B">
        <w:rPr>
          <w:bCs/>
          <w:sz w:val="24"/>
          <w:szCs w:val="24"/>
        </w:rPr>
        <w:t>écret n° 2017-1889 du 30 décembre 2017 pris en application de l'article 113 de la loi n° 2017-1837 du 30 décembre 2017 de finances pour 2018 et instituant une indemnité compensatrice de la hausse de la contribution sociale généralisée dans la fonction publique</w:t>
      </w:r>
      <w:r w:rsidRPr="0051504B">
        <w:rPr>
          <w:sz w:val="24"/>
          <w:szCs w:val="24"/>
        </w:rPr>
        <w:t>,</w:t>
      </w:r>
    </w:p>
    <w:p w14:paraId="563C2302" w14:textId="77777777" w:rsidR="0051504B" w:rsidRDefault="0051504B" w:rsidP="0051504B">
      <w:pPr>
        <w:tabs>
          <w:tab w:val="left" w:pos="6216"/>
        </w:tabs>
        <w:jc w:val="both"/>
        <w:rPr>
          <w:sz w:val="24"/>
          <w:szCs w:val="24"/>
        </w:rPr>
      </w:pPr>
    </w:p>
    <w:p w14:paraId="5C17E20F" w14:textId="77777777" w:rsidR="00E67BC4" w:rsidRDefault="00E67BC4" w:rsidP="00E67BC4">
      <w:pPr>
        <w:tabs>
          <w:tab w:val="left" w:pos="6216"/>
        </w:tabs>
        <w:jc w:val="center"/>
        <w:rPr>
          <w:sz w:val="24"/>
          <w:szCs w:val="24"/>
        </w:rPr>
      </w:pPr>
      <w:r>
        <w:rPr>
          <w:sz w:val="24"/>
          <w:szCs w:val="24"/>
        </w:rPr>
        <w:t>***</w:t>
      </w:r>
    </w:p>
    <w:p w14:paraId="1B484D97" w14:textId="77777777" w:rsidR="00E67BC4" w:rsidRPr="00E67BC4" w:rsidRDefault="00E67BC4" w:rsidP="0051504B">
      <w:pPr>
        <w:tabs>
          <w:tab w:val="left" w:pos="6216"/>
        </w:tabs>
        <w:jc w:val="both"/>
        <w:rPr>
          <w:i/>
          <w:sz w:val="24"/>
          <w:szCs w:val="24"/>
        </w:rPr>
      </w:pPr>
      <w:r w:rsidRPr="00E67BC4">
        <w:rPr>
          <w:i/>
          <w:sz w:val="24"/>
          <w:szCs w:val="24"/>
        </w:rPr>
        <w:t>Dans le cas d’un agent</w:t>
      </w:r>
      <w:r>
        <w:rPr>
          <w:i/>
          <w:sz w:val="24"/>
          <w:szCs w:val="24"/>
        </w:rPr>
        <w:t xml:space="preserve"> public</w:t>
      </w:r>
      <w:r w:rsidRPr="00E67BC4">
        <w:rPr>
          <w:i/>
          <w:sz w:val="24"/>
          <w:szCs w:val="24"/>
        </w:rPr>
        <w:t xml:space="preserve"> (</w:t>
      </w:r>
      <w:r>
        <w:rPr>
          <w:i/>
          <w:sz w:val="24"/>
          <w:szCs w:val="24"/>
        </w:rPr>
        <w:t>quel</w:t>
      </w:r>
      <w:r w:rsidRPr="00E67BC4">
        <w:rPr>
          <w:i/>
          <w:sz w:val="24"/>
          <w:szCs w:val="24"/>
        </w:rPr>
        <w:t xml:space="preserve"> que soit </w:t>
      </w:r>
      <w:r w:rsidR="001F2CAB">
        <w:rPr>
          <w:i/>
          <w:sz w:val="24"/>
          <w:szCs w:val="24"/>
        </w:rPr>
        <w:t>son</w:t>
      </w:r>
      <w:r w:rsidRPr="00E67BC4">
        <w:rPr>
          <w:i/>
          <w:sz w:val="24"/>
          <w:szCs w:val="24"/>
        </w:rPr>
        <w:t xml:space="preserve"> statut : fonctionnaire, stagiaire affilié aussi bien au régime spécial qu’au régime général de la sécurité sociale et contractuel de droit public) </w:t>
      </w:r>
      <w:r w:rsidR="00F445C8">
        <w:rPr>
          <w:b/>
          <w:i/>
          <w:sz w:val="24"/>
          <w:szCs w:val="24"/>
        </w:rPr>
        <w:t>nommé</w:t>
      </w:r>
      <w:r w:rsidRPr="00E67BC4">
        <w:rPr>
          <w:b/>
          <w:i/>
          <w:sz w:val="24"/>
          <w:szCs w:val="24"/>
        </w:rPr>
        <w:t xml:space="preserve"> ou recruté en cette qualité avant le 1</w:t>
      </w:r>
      <w:r w:rsidRPr="00E67BC4">
        <w:rPr>
          <w:b/>
          <w:i/>
          <w:sz w:val="24"/>
          <w:szCs w:val="24"/>
          <w:vertAlign w:val="superscript"/>
        </w:rPr>
        <w:t>er</w:t>
      </w:r>
      <w:r w:rsidRPr="00E67BC4">
        <w:rPr>
          <w:b/>
          <w:i/>
          <w:sz w:val="24"/>
          <w:szCs w:val="24"/>
        </w:rPr>
        <w:t xml:space="preserve"> janvier 2018 et rémunéré au 31 décembre 2017</w:t>
      </w:r>
      <w:r w:rsidRPr="00E67BC4">
        <w:rPr>
          <w:i/>
          <w:sz w:val="24"/>
          <w:szCs w:val="24"/>
        </w:rPr>
        <w:t> :</w:t>
      </w:r>
    </w:p>
    <w:p w14:paraId="3FD56229" w14:textId="77777777" w:rsidR="00E67BC4" w:rsidRDefault="00E67BC4" w:rsidP="0051504B">
      <w:pPr>
        <w:tabs>
          <w:tab w:val="left" w:pos="6216"/>
        </w:tabs>
        <w:jc w:val="both"/>
        <w:rPr>
          <w:sz w:val="24"/>
          <w:szCs w:val="24"/>
        </w:rPr>
      </w:pPr>
    </w:p>
    <w:p w14:paraId="7823A398" w14:textId="77777777" w:rsidR="00B708D2" w:rsidRDefault="0051504B" w:rsidP="0051504B">
      <w:pPr>
        <w:tabs>
          <w:tab w:val="left" w:pos="6216"/>
        </w:tabs>
        <w:jc w:val="both"/>
        <w:rPr>
          <w:sz w:val="24"/>
          <w:szCs w:val="24"/>
        </w:rPr>
      </w:pPr>
      <w:r w:rsidRPr="0093217A">
        <w:rPr>
          <w:sz w:val="24"/>
          <w:szCs w:val="24"/>
        </w:rPr>
        <w:t xml:space="preserve">Considérant que </w:t>
      </w:r>
      <w:r w:rsidRPr="007F449A">
        <w:rPr>
          <w:sz w:val="24"/>
          <w:szCs w:val="24"/>
        </w:rPr>
        <w:t xml:space="preserve">Monsieur </w:t>
      </w:r>
      <w:r w:rsidRPr="0093217A">
        <w:rPr>
          <w:i/>
          <w:sz w:val="24"/>
          <w:szCs w:val="24"/>
        </w:rPr>
        <w:t>(ou Madame)</w:t>
      </w:r>
      <w:r>
        <w:rPr>
          <w:sz w:val="24"/>
          <w:szCs w:val="24"/>
        </w:rPr>
        <w:t xml:space="preserve"> … a perçu </w:t>
      </w:r>
      <w:r w:rsidR="001F2CAB">
        <w:rPr>
          <w:sz w:val="24"/>
          <w:szCs w:val="24"/>
        </w:rPr>
        <w:t xml:space="preserve">au titre de l’année 2017 une </w:t>
      </w:r>
      <w:r w:rsidRPr="0051504B">
        <w:rPr>
          <w:sz w:val="24"/>
          <w:szCs w:val="24"/>
        </w:rPr>
        <w:t>rémunération brute</w:t>
      </w:r>
      <w:r w:rsidR="00B708D2">
        <w:rPr>
          <w:sz w:val="24"/>
          <w:szCs w:val="24"/>
        </w:rPr>
        <w:t xml:space="preserve"> totale</w:t>
      </w:r>
      <w:r w:rsidRPr="0051504B">
        <w:rPr>
          <w:sz w:val="24"/>
          <w:szCs w:val="24"/>
        </w:rPr>
        <w:t xml:space="preserve"> </w:t>
      </w:r>
      <w:r>
        <w:rPr>
          <w:sz w:val="24"/>
          <w:szCs w:val="24"/>
        </w:rPr>
        <w:t>de … €</w:t>
      </w:r>
      <w:r w:rsidRPr="0093217A">
        <w:rPr>
          <w:sz w:val="24"/>
          <w:szCs w:val="24"/>
        </w:rPr>
        <w:t>.</w:t>
      </w:r>
      <w:r w:rsidR="00B708D2">
        <w:rPr>
          <w:sz w:val="24"/>
          <w:szCs w:val="24"/>
        </w:rPr>
        <w:t xml:space="preserve"> </w:t>
      </w:r>
    </w:p>
    <w:p w14:paraId="0A480338" w14:textId="77777777" w:rsidR="0051504B" w:rsidRPr="0093217A" w:rsidRDefault="00B708D2" w:rsidP="0051504B">
      <w:pPr>
        <w:tabs>
          <w:tab w:val="left" w:pos="6216"/>
        </w:tabs>
        <w:jc w:val="both"/>
        <w:rPr>
          <w:sz w:val="24"/>
          <w:szCs w:val="24"/>
        </w:rPr>
      </w:pPr>
      <w:r w:rsidRPr="00B708D2">
        <w:rPr>
          <w:i/>
          <w:sz w:val="24"/>
          <w:szCs w:val="24"/>
        </w:rPr>
        <w:t>(À savoir l’ensemble des éléments de la rémunération soumis à CSG au titre de l’activité principale (y compris les éléments non récurrents comme une prime annuelle, l’indemnisation des jours CET, les astreintes et permanences, la prime spéciale d’installation, participation employeur à la prévoyance/santé,…). Sont donc exclus de l’assiette les revenus annexes comme les remboursements de frais de déplacements (car ils ne sont pas soumis à cotisations), ou les sommes perçues au titre du cumul d’activités (activités accessoires)</w:t>
      </w:r>
      <w:r w:rsidRPr="00B708D2">
        <w:rPr>
          <w:sz w:val="24"/>
          <w:szCs w:val="24"/>
        </w:rPr>
        <w:t>.</w:t>
      </w:r>
    </w:p>
    <w:p w14:paraId="07B03EB5" w14:textId="77777777" w:rsidR="0051504B" w:rsidRDefault="0051504B" w:rsidP="0051504B">
      <w:pPr>
        <w:tabs>
          <w:tab w:val="left" w:pos="142"/>
          <w:tab w:val="left" w:pos="6216"/>
        </w:tabs>
        <w:jc w:val="both"/>
        <w:rPr>
          <w:sz w:val="24"/>
          <w:szCs w:val="24"/>
        </w:rPr>
      </w:pPr>
    </w:p>
    <w:p w14:paraId="0F62648C" w14:textId="77777777" w:rsidR="00B708D2" w:rsidRDefault="0051504B" w:rsidP="001F2CAB">
      <w:pPr>
        <w:tabs>
          <w:tab w:val="left" w:pos="142"/>
          <w:tab w:val="left" w:pos="6216"/>
        </w:tabs>
        <w:jc w:val="both"/>
        <w:rPr>
          <w:sz w:val="24"/>
          <w:szCs w:val="24"/>
        </w:rPr>
      </w:pPr>
      <w:r>
        <w:rPr>
          <w:sz w:val="24"/>
          <w:szCs w:val="24"/>
        </w:rPr>
        <w:t>Considérant que l’agent concerné s’est acquitté sur l’année 2017 d’un montant de</w:t>
      </w:r>
      <w:r w:rsidRPr="0051504B">
        <w:rPr>
          <w:sz w:val="24"/>
          <w:szCs w:val="24"/>
        </w:rPr>
        <w:t xml:space="preserve"> cotisations et contributions </w:t>
      </w:r>
      <w:r>
        <w:rPr>
          <w:sz w:val="24"/>
          <w:szCs w:val="24"/>
        </w:rPr>
        <w:t>à hauteur de … €</w:t>
      </w:r>
    </w:p>
    <w:p w14:paraId="4CB80A94" w14:textId="77777777" w:rsidR="001F2CAB" w:rsidRDefault="00B708D2" w:rsidP="001F2CAB">
      <w:pPr>
        <w:tabs>
          <w:tab w:val="left" w:pos="142"/>
          <w:tab w:val="left" w:pos="6216"/>
        </w:tabs>
        <w:jc w:val="both"/>
        <w:rPr>
          <w:sz w:val="24"/>
          <w:szCs w:val="24"/>
        </w:rPr>
      </w:pPr>
      <w:r w:rsidRPr="00B708D2">
        <w:rPr>
          <w:i/>
          <w:sz w:val="24"/>
          <w:szCs w:val="24"/>
        </w:rPr>
        <w:t>(</w:t>
      </w:r>
      <w:r w:rsidR="00F445C8" w:rsidRPr="00B708D2">
        <w:rPr>
          <w:i/>
          <w:sz w:val="24"/>
          <w:szCs w:val="24"/>
        </w:rPr>
        <w:t>À</w:t>
      </w:r>
      <w:r w:rsidRPr="00B708D2">
        <w:rPr>
          <w:i/>
          <w:sz w:val="24"/>
          <w:szCs w:val="24"/>
        </w:rPr>
        <w:t xml:space="preserve"> savoir</w:t>
      </w:r>
      <w:r>
        <w:rPr>
          <w:i/>
          <w:sz w:val="24"/>
          <w:szCs w:val="24"/>
        </w:rPr>
        <w:t xml:space="preserve"> et</w:t>
      </w:r>
      <w:r w:rsidRPr="00B708D2">
        <w:rPr>
          <w:i/>
          <w:sz w:val="24"/>
          <w:szCs w:val="24"/>
        </w:rPr>
        <w:t xml:space="preserve"> selon les cas : contribution exceptionnelle de solidarité (CES), cotisation salariale d'assurance maladie du régime général de sécurité sociale, contribution salariale d'assurance chômage)</w:t>
      </w:r>
    </w:p>
    <w:p w14:paraId="4B7AA0B0" w14:textId="77777777" w:rsidR="001F2CAB" w:rsidRDefault="001F2CAB" w:rsidP="001F2CAB">
      <w:pPr>
        <w:tabs>
          <w:tab w:val="left" w:pos="142"/>
          <w:tab w:val="left" w:pos="6216"/>
        </w:tabs>
        <w:jc w:val="both"/>
        <w:rPr>
          <w:sz w:val="24"/>
          <w:szCs w:val="24"/>
        </w:rPr>
      </w:pPr>
    </w:p>
    <w:p w14:paraId="3A73605F" w14:textId="77777777" w:rsidR="001F2CAB" w:rsidRPr="001F2CAB" w:rsidRDefault="001F2CAB" w:rsidP="001F2CAB">
      <w:pPr>
        <w:tabs>
          <w:tab w:val="left" w:pos="142"/>
          <w:tab w:val="left" w:pos="6216"/>
        </w:tabs>
        <w:jc w:val="both"/>
        <w:rPr>
          <w:i/>
          <w:sz w:val="24"/>
          <w:szCs w:val="24"/>
        </w:rPr>
      </w:pPr>
      <w:r w:rsidRPr="001F2CAB">
        <w:rPr>
          <w:i/>
          <w:sz w:val="24"/>
          <w:szCs w:val="24"/>
        </w:rPr>
        <w:t>(</w:t>
      </w:r>
      <w:r w:rsidRPr="001F2CAB">
        <w:rPr>
          <w:b/>
          <w:i/>
          <w:sz w:val="24"/>
          <w:szCs w:val="24"/>
        </w:rPr>
        <w:t>Pour rappel :</w:t>
      </w:r>
      <w:r w:rsidRPr="001F2CAB">
        <w:rPr>
          <w:i/>
          <w:sz w:val="24"/>
          <w:szCs w:val="24"/>
        </w:rPr>
        <w:t xml:space="preserve"> </w:t>
      </w:r>
      <w:r>
        <w:rPr>
          <w:i/>
          <w:sz w:val="24"/>
          <w:szCs w:val="24"/>
        </w:rPr>
        <w:t>e</w:t>
      </w:r>
      <w:r w:rsidRPr="001F2CAB">
        <w:rPr>
          <w:i/>
          <w:sz w:val="24"/>
          <w:szCs w:val="24"/>
        </w:rPr>
        <w:t>n cas de nomination, de recrutement ou de réintégration en qualité d'agent public au cours de l'année 2017, l'assiette de calcul de l'indemnité est ramenée à une rémunération brute équivalente à l'année complète).</w:t>
      </w:r>
    </w:p>
    <w:p w14:paraId="7744ED95" w14:textId="77777777" w:rsidR="0051504B" w:rsidRDefault="0051504B" w:rsidP="0051504B">
      <w:pPr>
        <w:tabs>
          <w:tab w:val="left" w:pos="142"/>
          <w:tab w:val="left" w:pos="6216"/>
        </w:tabs>
        <w:jc w:val="both"/>
        <w:rPr>
          <w:sz w:val="24"/>
          <w:szCs w:val="24"/>
        </w:rPr>
      </w:pPr>
    </w:p>
    <w:p w14:paraId="2A5B5B80" w14:textId="77777777" w:rsidR="00E67BC4" w:rsidRDefault="00E67BC4" w:rsidP="00E67BC4">
      <w:pPr>
        <w:tabs>
          <w:tab w:val="left" w:pos="142"/>
          <w:tab w:val="left" w:pos="6216"/>
        </w:tabs>
        <w:jc w:val="center"/>
        <w:rPr>
          <w:sz w:val="24"/>
          <w:szCs w:val="24"/>
        </w:rPr>
      </w:pPr>
      <w:r>
        <w:rPr>
          <w:sz w:val="24"/>
          <w:szCs w:val="24"/>
        </w:rPr>
        <w:t>***</w:t>
      </w:r>
    </w:p>
    <w:p w14:paraId="0DD20669" w14:textId="77777777" w:rsidR="00E67BC4" w:rsidRPr="00E67BC4" w:rsidRDefault="00E67BC4" w:rsidP="0051504B">
      <w:pPr>
        <w:tabs>
          <w:tab w:val="left" w:pos="142"/>
          <w:tab w:val="left" w:pos="6216"/>
        </w:tabs>
        <w:jc w:val="both"/>
        <w:rPr>
          <w:i/>
          <w:sz w:val="24"/>
          <w:szCs w:val="24"/>
        </w:rPr>
      </w:pPr>
      <w:r w:rsidRPr="00E67BC4">
        <w:rPr>
          <w:i/>
          <w:sz w:val="24"/>
          <w:szCs w:val="24"/>
        </w:rPr>
        <w:t xml:space="preserve">Dans le cas </w:t>
      </w:r>
      <w:r w:rsidRPr="00B708D2">
        <w:rPr>
          <w:b/>
          <w:i/>
          <w:sz w:val="24"/>
          <w:szCs w:val="24"/>
        </w:rPr>
        <w:t>uniquement</w:t>
      </w:r>
      <w:r w:rsidRPr="00E67BC4">
        <w:rPr>
          <w:i/>
          <w:sz w:val="24"/>
          <w:szCs w:val="24"/>
        </w:rPr>
        <w:t xml:space="preserve"> </w:t>
      </w:r>
      <w:r w:rsidRPr="001F2CAB">
        <w:rPr>
          <w:b/>
          <w:i/>
          <w:sz w:val="24"/>
          <w:szCs w:val="24"/>
        </w:rPr>
        <w:t xml:space="preserve">d’un fonctionnaire (CNRACL) </w:t>
      </w:r>
      <w:r w:rsidR="001F2CAB">
        <w:rPr>
          <w:b/>
          <w:i/>
          <w:sz w:val="24"/>
          <w:szCs w:val="24"/>
        </w:rPr>
        <w:t xml:space="preserve">nommé ou </w:t>
      </w:r>
      <w:r w:rsidRPr="001F2CAB">
        <w:rPr>
          <w:b/>
          <w:i/>
          <w:sz w:val="24"/>
          <w:szCs w:val="24"/>
        </w:rPr>
        <w:t>recruté au 1</w:t>
      </w:r>
      <w:r w:rsidRPr="001F2CAB">
        <w:rPr>
          <w:b/>
          <w:i/>
          <w:sz w:val="24"/>
          <w:szCs w:val="24"/>
          <w:vertAlign w:val="superscript"/>
        </w:rPr>
        <w:t>er</w:t>
      </w:r>
      <w:r w:rsidRPr="001F2CAB">
        <w:rPr>
          <w:b/>
          <w:i/>
          <w:sz w:val="24"/>
          <w:szCs w:val="24"/>
        </w:rPr>
        <w:t xml:space="preserve"> janvier 2018</w:t>
      </w:r>
      <w:r>
        <w:rPr>
          <w:i/>
          <w:sz w:val="24"/>
          <w:szCs w:val="24"/>
        </w:rPr>
        <w:t xml:space="preserve"> ou postérieurement</w:t>
      </w:r>
      <w:r w:rsidRPr="00E67BC4">
        <w:rPr>
          <w:i/>
          <w:sz w:val="24"/>
          <w:szCs w:val="24"/>
        </w:rPr>
        <w:t> :</w:t>
      </w:r>
    </w:p>
    <w:p w14:paraId="4D4C9381" w14:textId="77777777" w:rsidR="00E67BC4" w:rsidRDefault="00E67BC4" w:rsidP="0051504B">
      <w:pPr>
        <w:tabs>
          <w:tab w:val="left" w:pos="142"/>
          <w:tab w:val="left" w:pos="6216"/>
        </w:tabs>
        <w:jc w:val="both"/>
        <w:rPr>
          <w:sz w:val="24"/>
          <w:szCs w:val="24"/>
        </w:rPr>
      </w:pPr>
    </w:p>
    <w:p w14:paraId="0DC39FE5" w14:textId="77777777" w:rsidR="00E67BC4" w:rsidRDefault="00E67BC4" w:rsidP="0051504B">
      <w:pPr>
        <w:tabs>
          <w:tab w:val="left" w:pos="142"/>
          <w:tab w:val="left" w:pos="6216"/>
        </w:tabs>
        <w:jc w:val="both"/>
        <w:rPr>
          <w:sz w:val="24"/>
          <w:szCs w:val="24"/>
        </w:rPr>
      </w:pPr>
      <w:r w:rsidRPr="00E67BC4">
        <w:rPr>
          <w:sz w:val="24"/>
          <w:szCs w:val="24"/>
        </w:rPr>
        <w:lastRenderedPageBreak/>
        <w:t xml:space="preserve">Considérant que Monsieur </w:t>
      </w:r>
      <w:r w:rsidRPr="00E67BC4">
        <w:rPr>
          <w:i/>
          <w:sz w:val="24"/>
          <w:szCs w:val="24"/>
        </w:rPr>
        <w:t>(ou Madame)</w:t>
      </w:r>
      <w:r w:rsidRPr="00E67BC4">
        <w:rPr>
          <w:sz w:val="24"/>
          <w:szCs w:val="24"/>
        </w:rPr>
        <w:t xml:space="preserve"> … </w:t>
      </w:r>
      <w:r w:rsidR="00B708D2">
        <w:rPr>
          <w:sz w:val="24"/>
          <w:szCs w:val="24"/>
        </w:rPr>
        <w:t>perçoit, à la date de sa nomination ou de son</w:t>
      </w:r>
      <w:r w:rsidR="00B708D2" w:rsidRPr="001F2CAB">
        <w:rPr>
          <w:sz w:val="24"/>
          <w:szCs w:val="24"/>
        </w:rPr>
        <w:t xml:space="preserve"> recrutement</w:t>
      </w:r>
      <w:r w:rsidR="00B708D2">
        <w:rPr>
          <w:sz w:val="24"/>
          <w:szCs w:val="24"/>
        </w:rPr>
        <w:t xml:space="preserve">, </w:t>
      </w:r>
      <w:r>
        <w:rPr>
          <w:sz w:val="24"/>
          <w:szCs w:val="24"/>
        </w:rPr>
        <w:t>une</w:t>
      </w:r>
      <w:r w:rsidRPr="00E67BC4">
        <w:rPr>
          <w:sz w:val="24"/>
          <w:szCs w:val="24"/>
        </w:rPr>
        <w:t xml:space="preserve"> rémunération brute </w:t>
      </w:r>
      <w:r>
        <w:rPr>
          <w:sz w:val="24"/>
          <w:szCs w:val="24"/>
        </w:rPr>
        <w:t>mensuelle</w:t>
      </w:r>
      <w:r w:rsidR="001F2CAB" w:rsidRPr="001F2CAB">
        <w:rPr>
          <w:rFonts w:ascii="Arial" w:hAnsi="Arial" w:cs="Arial"/>
          <w:color w:val="000000"/>
          <w:sz w:val="19"/>
          <w:szCs w:val="19"/>
        </w:rPr>
        <w:t xml:space="preserve"> </w:t>
      </w:r>
      <w:r w:rsidRPr="00E67BC4">
        <w:rPr>
          <w:sz w:val="24"/>
          <w:szCs w:val="24"/>
        </w:rPr>
        <w:t>de … €.</w:t>
      </w:r>
    </w:p>
    <w:p w14:paraId="24D9DA7A" w14:textId="77777777" w:rsidR="001F2CAB" w:rsidRPr="001F2CAB" w:rsidRDefault="001F2CAB" w:rsidP="001F2CAB">
      <w:pPr>
        <w:tabs>
          <w:tab w:val="left" w:pos="142"/>
          <w:tab w:val="left" w:pos="6216"/>
        </w:tabs>
        <w:jc w:val="both"/>
        <w:rPr>
          <w:sz w:val="24"/>
          <w:szCs w:val="24"/>
        </w:rPr>
      </w:pPr>
    </w:p>
    <w:p w14:paraId="549F3C55" w14:textId="77777777" w:rsidR="001F2CAB" w:rsidRDefault="001F2CAB" w:rsidP="0051504B">
      <w:pPr>
        <w:tabs>
          <w:tab w:val="left" w:pos="142"/>
          <w:tab w:val="left" w:pos="6216"/>
        </w:tabs>
        <w:jc w:val="both"/>
        <w:rPr>
          <w:i/>
          <w:sz w:val="24"/>
          <w:szCs w:val="24"/>
        </w:rPr>
      </w:pPr>
      <w:r w:rsidRPr="001F2CAB">
        <w:rPr>
          <w:i/>
          <w:sz w:val="24"/>
          <w:szCs w:val="24"/>
        </w:rPr>
        <w:t>(</w:t>
      </w:r>
      <w:r w:rsidRPr="001F2CAB">
        <w:rPr>
          <w:b/>
          <w:i/>
          <w:sz w:val="24"/>
          <w:szCs w:val="24"/>
        </w:rPr>
        <w:t>Pour rappel :</w:t>
      </w:r>
      <w:r w:rsidRPr="001F2CAB">
        <w:rPr>
          <w:i/>
          <w:sz w:val="24"/>
          <w:szCs w:val="24"/>
        </w:rPr>
        <w:t xml:space="preserve"> la rémunération mensuelle prise en compte est la première rémunération servie au titre d'un mois complet</w:t>
      </w:r>
    </w:p>
    <w:p w14:paraId="7BDA63B0" w14:textId="77777777" w:rsidR="001F2CAB" w:rsidRPr="001F2CAB" w:rsidRDefault="001F2CAB" w:rsidP="0051504B">
      <w:pPr>
        <w:tabs>
          <w:tab w:val="left" w:pos="142"/>
          <w:tab w:val="left" w:pos="6216"/>
        </w:tabs>
        <w:jc w:val="both"/>
        <w:rPr>
          <w:i/>
          <w:sz w:val="24"/>
          <w:szCs w:val="24"/>
        </w:rPr>
      </w:pPr>
      <w:r w:rsidRPr="001F2CAB">
        <w:rPr>
          <w:i/>
          <w:sz w:val="24"/>
          <w:szCs w:val="24"/>
        </w:rPr>
        <w:t>En cas de recrutement, de nomination ou de réintégration en cours de mois, l'indemnité est versée au prorata du nombre de jours)</w:t>
      </w:r>
    </w:p>
    <w:p w14:paraId="042F5CD7" w14:textId="77777777" w:rsidR="0051504B" w:rsidRDefault="0051504B" w:rsidP="0051504B">
      <w:pPr>
        <w:tabs>
          <w:tab w:val="left" w:pos="142"/>
          <w:tab w:val="left" w:pos="6216"/>
        </w:tabs>
        <w:jc w:val="both"/>
        <w:rPr>
          <w:sz w:val="24"/>
          <w:szCs w:val="24"/>
        </w:rPr>
      </w:pPr>
    </w:p>
    <w:p w14:paraId="280947FF" w14:textId="77777777" w:rsidR="00E67BC4" w:rsidRDefault="00E67BC4" w:rsidP="00E67BC4">
      <w:pPr>
        <w:tabs>
          <w:tab w:val="left" w:pos="142"/>
          <w:tab w:val="left" w:pos="6216"/>
        </w:tabs>
        <w:jc w:val="center"/>
        <w:rPr>
          <w:sz w:val="24"/>
          <w:szCs w:val="24"/>
        </w:rPr>
      </w:pPr>
      <w:r>
        <w:rPr>
          <w:sz w:val="24"/>
          <w:szCs w:val="24"/>
        </w:rPr>
        <w:t>***</w:t>
      </w:r>
    </w:p>
    <w:p w14:paraId="071BDBB4" w14:textId="77777777" w:rsidR="00E67BC4" w:rsidRDefault="00E67BC4" w:rsidP="0051504B">
      <w:pPr>
        <w:tabs>
          <w:tab w:val="left" w:pos="142"/>
          <w:tab w:val="left" w:pos="6216"/>
        </w:tabs>
        <w:jc w:val="both"/>
        <w:rPr>
          <w:sz w:val="24"/>
          <w:szCs w:val="24"/>
        </w:rPr>
      </w:pPr>
    </w:p>
    <w:p w14:paraId="52C8489A" w14:textId="77777777" w:rsidR="0051504B" w:rsidRPr="0093217A" w:rsidRDefault="0051504B" w:rsidP="0051504B">
      <w:pPr>
        <w:tabs>
          <w:tab w:val="left" w:pos="142"/>
          <w:tab w:val="left" w:pos="6216"/>
        </w:tabs>
        <w:jc w:val="both"/>
        <w:rPr>
          <w:sz w:val="24"/>
          <w:szCs w:val="24"/>
        </w:rPr>
      </w:pPr>
      <w:r>
        <w:rPr>
          <w:sz w:val="24"/>
          <w:szCs w:val="24"/>
        </w:rPr>
        <w:t xml:space="preserve">Considérant que </w:t>
      </w:r>
      <w:r w:rsidRPr="0051504B">
        <w:rPr>
          <w:sz w:val="24"/>
          <w:szCs w:val="24"/>
        </w:rPr>
        <w:t xml:space="preserve">Monsieur </w:t>
      </w:r>
      <w:r w:rsidRPr="0051504B">
        <w:rPr>
          <w:i/>
          <w:sz w:val="24"/>
          <w:szCs w:val="24"/>
        </w:rPr>
        <w:t>(ou Madame)</w:t>
      </w:r>
      <w:r w:rsidRPr="0051504B">
        <w:rPr>
          <w:sz w:val="24"/>
          <w:szCs w:val="24"/>
        </w:rPr>
        <w:t xml:space="preserve"> …</w:t>
      </w:r>
      <w:r>
        <w:rPr>
          <w:sz w:val="24"/>
          <w:szCs w:val="24"/>
        </w:rPr>
        <w:t xml:space="preserve"> </w:t>
      </w:r>
      <w:r w:rsidR="00E67BC4">
        <w:rPr>
          <w:sz w:val="24"/>
          <w:szCs w:val="24"/>
        </w:rPr>
        <w:t xml:space="preserve">a droit à </w:t>
      </w:r>
      <w:r w:rsidR="00E67BC4" w:rsidRPr="00E67BC4">
        <w:rPr>
          <w:sz w:val="24"/>
          <w:szCs w:val="24"/>
        </w:rPr>
        <w:t>l’attribution d’une indemnité compensatrice de la hausse de la CSG versée par l’employeur public</w:t>
      </w:r>
      <w:r w:rsidR="00E67BC4">
        <w:rPr>
          <w:sz w:val="24"/>
          <w:szCs w:val="24"/>
        </w:rPr>
        <w:t xml:space="preserve"> conformément aux dispositions du décret précité</w:t>
      </w:r>
      <w:r w:rsidR="00B708D2">
        <w:rPr>
          <w:sz w:val="24"/>
          <w:szCs w:val="24"/>
        </w:rPr>
        <w:t>.</w:t>
      </w:r>
    </w:p>
    <w:p w14:paraId="68962F55" w14:textId="77777777" w:rsidR="00E67BC4" w:rsidRDefault="00E67BC4" w:rsidP="0051504B">
      <w:pPr>
        <w:pStyle w:val="VuConsidrant"/>
        <w:tabs>
          <w:tab w:val="left" w:pos="142"/>
        </w:tabs>
        <w:spacing w:after="0"/>
        <w:rPr>
          <w:rFonts w:ascii="Times New Roman" w:hAnsi="Times New Roman" w:cs="Times New Roman"/>
          <w:sz w:val="24"/>
          <w:szCs w:val="24"/>
        </w:rPr>
      </w:pPr>
    </w:p>
    <w:p w14:paraId="64A2C597" w14:textId="77777777" w:rsidR="00F445C8" w:rsidRPr="00F16DBA" w:rsidRDefault="00F445C8" w:rsidP="0051504B">
      <w:pPr>
        <w:pStyle w:val="VuConsidrant"/>
        <w:tabs>
          <w:tab w:val="left" w:pos="142"/>
        </w:tabs>
        <w:spacing w:after="0"/>
        <w:rPr>
          <w:rFonts w:ascii="Times New Roman" w:hAnsi="Times New Roman" w:cs="Times New Roman"/>
          <w:sz w:val="24"/>
          <w:szCs w:val="24"/>
        </w:rPr>
      </w:pPr>
    </w:p>
    <w:p w14:paraId="53831968" w14:textId="77777777" w:rsidR="0051504B" w:rsidRPr="00F16DBA" w:rsidRDefault="0051504B" w:rsidP="0051504B">
      <w:pPr>
        <w:tabs>
          <w:tab w:val="left" w:pos="142"/>
          <w:tab w:val="left" w:pos="2268"/>
          <w:tab w:val="left" w:pos="2552"/>
        </w:tabs>
        <w:jc w:val="center"/>
        <w:rPr>
          <w:b/>
          <w:bCs/>
          <w:sz w:val="24"/>
          <w:szCs w:val="24"/>
        </w:rPr>
      </w:pPr>
      <w:r w:rsidRPr="00F16DBA">
        <w:rPr>
          <w:b/>
          <w:bCs/>
          <w:sz w:val="24"/>
          <w:szCs w:val="24"/>
        </w:rPr>
        <w:t>ARRÊTE</w:t>
      </w:r>
    </w:p>
    <w:p w14:paraId="677285AB" w14:textId="77777777" w:rsidR="00F445C8" w:rsidRPr="00F16DBA" w:rsidRDefault="00F445C8" w:rsidP="0051504B">
      <w:pPr>
        <w:tabs>
          <w:tab w:val="left" w:pos="142"/>
          <w:tab w:val="left" w:pos="2268"/>
          <w:tab w:val="left" w:pos="2552"/>
        </w:tabs>
        <w:jc w:val="both"/>
        <w:rPr>
          <w:sz w:val="24"/>
          <w:szCs w:val="24"/>
        </w:rPr>
      </w:pPr>
    </w:p>
    <w:p w14:paraId="2F7ED7A0" w14:textId="77777777" w:rsidR="0051504B" w:rsidRPr="00F16DBA" w:rsidRDefault="0051504B" w:rsidP="0051504B">
      <w:pPr>
        <w:tabs>
          <w:tab w:val="left" w:pos="142"/>
          <w:tab w:val="left" w:pos="2268"/>
          <w:tab w:val="left" w:pos="2552"/>
        </w:tabs>
        <w:jc w:val="both"/>
        <w:rPr>
          <w:sz w:val="24"/>
          <w:szCs w:val="24"/>
        </w:rPr>
      </w:pPr>
      <w:r w:rsidRPr="00F16DBA">
        <w:rPr>
          <w:b/>
          <w:bCs/>
          <w:sz w:val="24"/>
          <w:szCs w:val="24"/>
          <w:u w:val="single"/>
        </w:rPr>
        <w:t>Article 1</w:t>
      </w:r>
      <w:r w:rsidRPr="00F16DBA">
        <w:rPr>
          <w:b/>
          <w:bCs/>
          <w:sz w:val="24"/>
          <w:szCs w:val="24"/>
        </w:rPr>
        <w:t xml:space="preserve"> :</w:t>
      </w:r>
    </w:p>
    <w:p w14:paraId="3022DB2F" w14:textId="77777777" w:rsidR="0051504B" w:rsidRPr="0093217A" w:rsidRDefault="001F2CAB" w:rsidP="0051504B">
      <w:pPr>
        <w:tabs>
          <w:tab w:val="left" w:pos="142"/>
          <w:tab w:val="left" w:pos="1134"/>
          <w:tab w:val="right" w:pos="1276"/>
          <w:tab w:val="left" w:pos="6216"/>
        </w:tabs>
        <w:jc w:val="both"/>
        <w:rPr>
          <w:sz w:val="24"/>
          <w:szCs w:val="24"/>
        </w:rPr>
      </w:pPr>
      <w:r w:rsidRPr="0093217A">
        <w:rPr>
          <w:sz w:val="24"/>
          <w:szCs w:val="24"/>
        </w:rPr>
        <w:t>A compter du …</w:t>
      </w:r>
      <w:r>
        <w:rPr>
          <w:sz w:val="24"/>
          <w:szCs w:val="24"/>
        </w:rPr>
        <w:t>,</w:t>
      </w:r>
      <w:r w:rsidRPr="0093217A">
        <w:rPr>
          <w:sz w:val="24"/>
          <w:szCs w:val="24"/>
        </w:rPr>
        <w:t xml:space="preserve"> </w:t>
      </w:r>
      <w:r w:rsidR="0051504B" w:rsidRPr="007F449A">
        <w:rPr>
          <w:sz w:val="24"/>
          <w:szCs w:val="24"/>
        </w:rPr>
        <w:t xml:space="preserve">Monsieur </w:t>
      </w:r>
      <w:r w:rsidR="0051504B" w:rsidRPr="0093217A">
        <w:rPr>
          <w:i/>
          <w:sz w:val="24"/>
          <w:szCs w:val="24"/>
        </w:rPr>
        <w:t>(ou Madame)</w:t>
      </w:r>
      <w:r w:rsidR="0051504B" w:rsidRPr="007F449A">
        <w:rPr>
          <w:sz w:val="24"/>
          <w:szCs w:val="24"/>
        </w:rPr>
        <w:t xml:space="preserve"> …, </w:t>
      </w:r>
      <w:r w:rsidR="0051504B" w:rsidRPr="0093217A">
        <w:rPr>
          <w:i/>
          <w:sz w:val="24"/>
          <w:szCs w:val="24"/>
        </w:rPr>
        <w:t>(grade)</w:t>
      </w:r>
      <w:r w:rsidR="0051504B" w:rsidRPr="007F449A">
        <w:rPr>
          <w:sz w:val="24"/>
          <w:szCs w:val="24"/>
        </w:rPr>
        <w:t xml:space="preserve"> …, </w:t>
      </w:r>
      <w:r>
        <w:rPr>
          <w:sz w:val="24"/>
          <w:szCs w:val="24"/>
        </w:rPr>
        <w:t xml:space="preserve">à temps complet </w:t>
      </w:r>
      <w:r w:rsidRPr="00B708D2">
        <w:rPr>
          <w:i/>
          <w:sz w:val="24"/>
          <w:szCs w:val="24"/>
        </w:rPr>
        <w:t>(ou non-complet de …/35)</w:t>
      </w:r>
      <w:r>
        <w:rPr>
          <w:sz w:val="24"/>
          <w:szCs w:val="24"/>
        </w:rPr>
        <w:t xml:space="preserve"> </w:t>
      </w:r>
      <w:r w:rsidR="0051504B" w:rsidRPr="0093217A">
        <w:rPr>
          <w:sz w:val="24"/>
          <w:szCs w:val="24"/>
        </w:rPr>
        <w:t xml:space="preserve">bénéficiera d’une indemnité </w:t>
      </w:r>
      <w:r>
        <w:rPr>
          <w:sz w:val="24"/>
          <w:szCs w:val="24"/>
        </w:rPr>
        <w:t>compensatrice de la hausse de CSG versée mensuellement à hauteur de … € brut.</w:t>
      </w:r>
    </w:p>
    <w:p w14:paraId="443F6D8B" w14:textId="77777777" w:rsidR="0051504B" w:rsidRPr="007F449A" w:rsidRDefault="0051504B" w:rsidP="0051504B">
      <w:pPr>
        <w:tabs>
          <w:tab w:val="left" w:pos="142"/>
          <w:tab w:val="right" w:pos="1276"/>
          <w:tab w:val="left" w:pos="1418"/>
          <w:tab w:val="left" w:pos="6216"/>
        </w:tabs>
        <w:jc w:val="both"/>
        <w:rPr>
          <w:sz w:val="24"/>
          <w:szCs w:val="24"/>
        </w:rPr>
      </w:pPr>
    </w:p>
    <w:p w14:paraId="505A54AC" w14:textId="77777777" w:rsidR="0051504B" w:rsidRPr="007F449A" w:rsidRDefault="0051504B" w:rsidP="0051504B">
      <w:pPr>
        <w:tabs>
          <w:tab w:val="left" w:pos="142"/>
        </w:tabs>
        <w:jc w:val="both"/>
        <w:rPr>
          <w:b/>
          <w:sz w:val="24"/>
          <w:szCs w:val="24"/>
        </w:rPr>
      </w:pPr>
      <w:r w:rsidRPr="007F449A">
        <w:rPr>
          <w:b/>
          <w:sz w:val="24"/>
          <w:szCs w:val="24"/>
          <w:u w:val="single"/>
        </w:rPr>
        <w:t>Article 2</w:t>
      </w:r>
      <w:r w:rsidRPr="007F449A">
        <w:rPr>
          <w:b/>
          <w:sz w:val="24"/>
          <w:szCs w:val="24"/>
        </w:rPr>
        <w:t> :</w:t>
      </w:r>
    </w:p>
    <w:p w14:paraId="346F28E5" w14:textId="77777777" w:rsidR="0051504B" w:rsidRPr="007F449A" w:rsidRDefault="00B708D2" w:rsidP="0051504B">
      <w:pPr>
        <w:jc w:val="both"/>
        <w:rPr>
          <w:sz w:val="24"/>
          <w:szCs w:val="24"/>
        </w:rPr>
      </w:pPr>
      <w:r w:rsidRPr="00B708D2">
        <w:rPr>
          <w:sz w:val="24"/>
          <w:szCs w:val="24"/>
        </w:rPr>
        <w:t>En cas de changement de quotité de travail ou en cas d'absence pour raisons de santé, le montant de l'indemnité varie, le cas échéant, dans les mêmes proportions que le traitement.</w:t>
      </w:r>
    </w:p>
    <w:p w14:paraId="2780ADF0" w14:textId="77777777" w:rsidR="0051504B" w:rsidRPr="007F449A" w:rsidRDefault="0051504B" w:rsidP="0051504B">
      <w:pPr>
        <w:tabs>
          <w:tab w:val="left" w:pos="142"/>
        </w:tabs>
        <w:jc w:val="both"/>
        <w:rPr>
          <w:b/>
          <w:sz w:val="24"/>
          <w:szCs w:val="24"/>
          <w:u w:val="single"/>
        </w:rPr>
      </w:pPr>
    </w:p>
    <w:p w14:paraId="0E9D9460" w14:textId="77777777" w:rsidR="0051504B" w:rsidRDefault="0051504B" w:rsidP="0051504B">
      <w:pPr>
        <w:tabs>
          <w:tab w:val="left" w:pos="142"/>
        </w:tabs>
        <w:jc w:val="both"/>
        <w:rPr>
          <w:b/>
          <w:sz w:val="24"/>
          <w:szCs w:val="24"/>
        </w:rPr>
      </w:pPr>
      <w:r w:rsidRPr="007F449A">
        <w:rPr>
          <w:b/>
          <w:sz w:val="24"/>
          <w:szCs w:val="24"/>
          <w:u w:val="single"/>
        </w:rPr>
        <w:t>Article 3</w:t>
      </w:r>
      <w:r w:rsidRPr="007F449A">
        <w:rPr>
          <w:b/>
          <w:sz w:val="24"/>
          <w:szCs w:val="24"/>
        </w:rPr>
        <w:t xml:space="preserve"> : </w:t>
      </w:r>
    </w:p>
    <w:p w14:paraId="4E51E597" w14:textId="77777777" w:rsidR="0051504B" w:rsidRPr="00E326B6" w:rsidRDefault="00B708D2" w:rsidP="0051504B">
      <w:pPr>
        <w:tabs>
          <w:tab w:val="left" w:pos="142"/>
        </w:tabs>
        <w:jc w:val="both"/>
        <w:rPr>
          <w:b/>
          <w:sz w:val="24"/>
          <w:szCs w:val="24"/>
        </w:rPr>
      </w:pPr>
      <w:r w:rsidRPr="00B708D2">
        <w:rPr>
          <w:sz w:val="24"/>
          <w:szCs w:val="24"/>
        </w:rPr>
        <w:t>Au 1</w:t>
      </w:r>
      <w:r w:rsidRPr="00B708D2">
        <w:rPr>
          <w:sz w:val="24"/>
          <w:szCs w:val="24"/>
          <w:vertAlign w:val="superscript"/>
        </w:rPr>
        <w:t>er</w:t>
      </w:r>
      <w:r w:rsidRPr="00B708D2">
        <w:rPr>
          <w:sz w:val="24"/>
          <w:szCs w:val="24"/>
        </w:rPr>
        <w:t xml:space="preserve"> janvier 2019, si la rémunération brute totale perçue en 2018 est supérieure à celle de 2017, le montant de l'indemnité </w:t>
      </w:r>
      <w:r>
        <w:rPr>
          <w:sz w:val="24"/>
          <w:szCs w:val="24"/>
        </w:rPr>
        <w:t>sera</w:t>
      </w:r>
      <w:r w:rsidRPr="00B708D2">
        <w:rPr>
          <w:sz w:val="24"/>
          <w:szCs w:val="24"/>
        </w:rPr>
        <w:t xml:space="preserve"> réévalué proportionnellement à cette progression</w:t>
      </w:r>
      <w:r w:rsidR="0051504B" w:rsidRPr="00E326B6">
        <w:rPr>
          <w:sz w:val="24"/>
          <w:szCs w:val="24"/>
        </w:rPr>
        <w:t>.</w:t>
      </w:r>
    </w:p>
    <w:p w14:paraId="36E1ACF8" w14:textId="77777777" w:rsidR="0051504B" w:rsidRDefault="0051504B" w:rsidP="0051504B">
      <w:pPr>
        <w:tabs>
          <w:tab w:val="left" w:pos="142"/>
        </w:tabs>
        <w:jc w:val="both"/>
        <w:rPr>
          <w:b/>
          <w:sz w:val="24"/>
          <w:szCs w:val="24"/>
        </w:rPr>
      </w:pPr>
    </w:p>
    <w:p w14:paraId="0AB57B24" w14:textId="77777777" w:rsidR="0051504B" w:rsidRPr="007F449A" w:rsidRDefault="0051504B" w:rsidP="0051504B">
      <w:pPr>
        <w:tabs>
          <w:tab w:val="left" w:pos="142"/>
        </w:tabs>
        <w:jc w:val="both"/>
        <w:rPr>
          <w:b/>
          <w:sz w:val="24"/>
          <w:szCs w:val="24"/>
        </w:rPr>
      </w:pPr>
      <w:r w:rsidRPr="00E326B6">
        <w:rPr>
          <w:b/>
          <w:sz w:val="24"/>
          <w:szCs w:val="24"/>
          <w:u w:val="single"/>
        </w:rPr>
        <w:t>Article 4</w:t>
      </w:r>
      <w:r>
        <w:rPr>
          <w:b/>
          <w:sz w:val="24"/>
          <w:szCs w:val="24"/>
        </w:rPr>
        <w:t xml:space="preserve"> : </w:t>
      </w:r>
    </w:p>
    <w:p w14:paraId="6F41CDC5" w14:textId="77777777" w:rsidR="0051504B" w:rsidRPr="00F16DBA" w:rsidRDefault="0051504B" w:rsidP="0051504B">
      <w:pPr>
        <w:tabs>
          <w:tab w:val="left" w:pos="142"/>
        </w:tabs>
        <w:jc w:val="both"/>
        <w:rPr>
          <w:sz w:val="24"/>
          <w:szCs w:val="24"/>
        </w:rPr>
      </w:pPr>
      <w:r w:rsidRPr="00F16DBA">
        <w:rPr>
          <w:i/>
          <w:sz w:val="24"/>
          <w:szCs w:val="24"/>
        </w:rPr>
        <w:t>Le</w:t>
      </w:r>
      <w:r w:rsidRPr="00F16DBA">
        <w:rPr>
          <w:sz w:val="24"/>
          <w:szCs w:val="24"/>
        </w:rPr>
        <w:t xml:space="preserve"> </w:t>
      </w:r>
      <w:r w:rsidRPr="00F16DBA">
        <w:rPr>
          <w:i/>
          <w:sz w:val="24"/>
          <w:szCs w:val="24"/>
        </w:rPr>
        <w:t>Directeur Général des Services (</w:t>
      </w:r>
      <w:r>
        <w:rPr>
          <w:i/>
          <w:sz w:val="24"/>
          <w:szCs w:val="24"/>
        </w:rPr>
        <w:t xml:space="preserve">ou </w:t>
      </w:r>
      <w:r w:rsidRPr="00F16DBA">
        <w:rPr>
          <w:i/>
          <w:sz w:val="24"/>
          <w:szCs w:val="24"/>
        </w:rPr>
        <w:t>la secrétaire de mairie, le Directeur</w:t>
      </w:r>
      <w:r>
        <w:rPr>
          <w:i/>
          <w:sz w:val="24"/>
          <w:szCs w:val="24"/>
        </w:rPr>
        <w:t xml:space="preserve">, </w:t>
      </w:r>
      <w:r w:rsidR="00B708D2">
        <w:rPr>
          <w:i/>
          <w:sz w:val="24"/>
          <w:szCs w:val="24"/>
        </w:rPr>
        <w:t>…</w:t>
      </w:r>
      <w:r w:rsidRPr="00F16DBA">
        <w:rPr>
          <w:i/>
          <w:sz w:val="24"/>
          <w:szCs w:val="24"/>
        </w:rPr>
        <w:t>)</w:t>
      </w:r>
      <w:r>
        <w:rPr>
          <w:i/>
          <w:sz w:val="24"/>
          <w:szCs w:val="24"/>
        </w:rPr>
        <w:t xml:space="preserve"> </w:t>
      </w:r>
      <w:r>
        <w:rPr>
          <w:sz w:val="24"/>
          <w:szCs w:val="24"/>
        </w:rPr>
        <w:t xml:space="preserve">et le comptable de la collectivité sont chargés chacun en ce qui le concerne </w:t>
      </w:r>
      <w:r w:rsidRPr="00F16DBA">
        <w:rPr>
          <w:sz w:val="24"/>
          <w:szCs w:val="24"/>
        </w:rPr>
        <w:t xml:space="preserve">de l’exécution du présent arrêté qui sera notifié à Monsieur </w:t>
      </w:r>
      <w:r w:rsidRPr="00F16DBA">
        <w:rPr>
          <w:i/>
          <w:sz w:val="24"/>
          <w:szCs w:val="24"/>
        </w:rPr>
        <w:t>(ou Madame)</w:t>
      </w:r>
      <w:r w:rsidRPr="00F16DBA">
        <w:rPr>
          <w:sz w:val="24"/>
          <w:szCs w:val="24"/>
        </w:rPr>
        <w:t>...</w:t>
      </w:r>
    </w:p>
    <w:p w14:paraId="4A7FF986" w14:textId="77777777" w:rsidR="0051504B" w:rsidRPr="00F16DBA" w:rsidRDefault="0051504B" w:rsidP="0051504B">
      <w:pPr>
        <w:tabs>
          <w:tab w:val="left" w:pos="142"/>
        </w:tabs>
        <w:jc w:val="both"/>
        <w:rPr>
          <w:sz w:val="24"/>
          <w:szCs w:val="24"/>
        </w:rPr>
      </w:pPr>
    </w:p>
    <w:p w14:paraId="2A94665E" w14:textId="77777777" w:rsidR="0051504B" w:rsidRPr="00F16DBA" w:rsidRDefault="0051504B" w:rsidP="0051504B">
      <w:pPr>
        <w:pStyle w:val="Retraitcorpsdetexte2"/>
        <w:tabs>
          <w:tab w:val="left" w:pos="142"/>
        </w:tabs>
        <w:spacing w:after="0" w:line="240" w:lineRule="auto"/>
        <w:ind w:left="0"/>
        <w:jc w:val="both"/>
        <w:rPr>
          <w:b/>
          <w:sz w:val="24"/>
          <w:szCs w:val="24"/>
        </w:rPr>
      </w:pPr>
      <w:r w:rsidRPr="00F16DBA">
        <w:rPr>
          <w:b/>
          <w:sz w:val="24"/>
          <w:szCs w:val="24"/>
          <w:u w:val="single"/>
        </w:rPr>
        <w:t xml:space="preserve">Article </w:t>
      </w:r>
      <w:r>
        <w:rPr>
          <w:b/>
          <w:sz w:val="24"/>
          <w:szCs w:val="24"/>
          <w:u w:val="single"/>
        </w:rPr>
        <w:t>5</w:t>
      </w:r>
      <w:r w:rsidRPr="00F16DBA">
        <w:rPr>
          <w:b/>
          <w:sz w:val="24"/>
          <w:szCs w:val="24"/>
        </w:rPr>
        <w:t xml:space="preserve"> : </w:t>
      </w:r>
    </w:p>
    <w:p w14:paraId="1A27F214" w14:textId="77777777" w:rsidR="0051504B" w:rsidRPr="00F16DBA" w:rsidRDefault="0051504B" w:rsidP="0051504B">
      <w:pPr>
        <w:tabs>
          <w:tab w:val="left" w:pos="142"/>
        </w:tabs>
        <w:jc w:val="both"/>
        <w:rPr>
          <w:sz w:val="24"/>
          <w:szCs w:val="24"/>
        </w:rPr>
      </w:pPr>
      <w:r w:rsidRPr="00F16DBA">
        <w:rPr>
          <w:sz w:val="24"/>
          <w:szCs w:val="24"/>
        </w:rPr>
        <w:t xml:space="preserve">Le Maire </w:t>
      </w:r>
      <w:r w:rsidRPr="00F16DBA">
        <w:rPr>
          <w:i/>
          <w:sz w:val="24"/>
          <w:szCs w:val="24"/>
        </w:rPr>
        <w:t>(ou le Président)</w:t>
      </w:r>
      <w:r w:rsidRPr="00F16DB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7E9926" w14:textId="77777777" w:rsidR="0051504B" w:rsidRDefault="0051504B" w:rsidP="0051504B">
      <w:pPr>
        <w:tabs>
          <w:tab w:val="left" w:pos="142"/>
        </w:tabs>
        <w:jc w:val="both"/>
        <w:rPr>
          <w:bCs/>
          <w:sz w:val="24"/>
          <w:szCs w:val="24"/>
        </w:rPr>
      </w:pPr>
    </w:p>
    <w:p w14:paraId="58C5FCE7" w14:textId="77777777" w:rsidR="0051504B" w:rsidRDefault="0051504B" w:rsidP="0051504B">
      <w:pPr>
        <w:tabs>
          <w:tab w:val="left" w:pos="1276"/>
        </w:tabs>
        <w:jc w:val="both"/>
        <w:rPr>
          <w:b/>
          <w:color w:val="000000" w:themeColor="text1"/>
          <w:sz w:val="24"/>
          <w:szCs w:val="24"/>
        </w:rPr>
      </w:pPr>
      <w:r>
        <w:rPr>
          <w:b/>
          <w:color w:val="000000" w:themeColor="text1"/>
          <w:sz w:val="24"/>
          <w:szCs w:val="24"/>
          <w:u w:val="single"/>
        </w:rPr>
        <w:t>Article 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3E84094D" w14:textId="77777777" w:rsidR="0051504B" w:rsidRPr="00F16DBA" w:rsidRDefault="0051504B" w:rsidP="0051504B">
      <w:pPr>
        <w:tabs>
          <w:tab w:val="left" w:pos="142"/>
        </w:tabs>
        <w:jc w:val="both"/>
        <w:rPr>
          <w:bCs/>
          <w:sz w:val="24"/>
          <w:szCs w:val="24"/>
        </w:rPr>
      </w:pPr>
      <w:r>
        <w:rPr>
          <w:color w:val="000000" w:themeColor="text1"/>
          <w:sz w:val="24"/>
          <w:szCs w:val="24"/>
        </w:rPr>
        <w:t xml:space="preserve">Ampliation du présent arrêté sera transmise au </w:t>
      </w:r>
      <w:r>
        <w:rPr>
          <w:sz w:val="24"/>
          <w:szCs w:val="24"/>
        </w:rPr>
        <w:t>comptable de la collectivité</w:t>
      </w:r>
      <w:r>
        <w:rPr>
          <w:color w:val="000000" w:themeColor="text1"/>
          <w:sz w:val="24"/>
          <w:szCs w:val="24"/>
        </w:rPr>
        <w:t>.</w:t>
      </w:r>
    </w:p>
    <w:p w14:paraId="6A65B193" w14:textId="77777777" w:rsidR="0051504B" w:rsidRPr="00F16DBA" w:rsidRDefault="0051504B" w:rsidP="0051504B">
      <w:pPr>
        <w:tabs>
          <w:tab w:val="left" w:pos="142"/>
        </w:tabs>
        <w:jc w:val="both"/>
        <w:rPr>
          <w:bCs/>
          <w:sz w:val="24"/>
          <w:szCs w:val="24"/>
        </w:rPr>
      </w:pPr>
    </w:p>
    <w:p w14:paraId="5A5A561A" w14:textId="77777777" w:rsidR="0051504B" w:rsidRPr="00F16DBA" w:rsidRDefault="0051504B" w:rsidP="0051504B">
      <w:pPr>
        <w:tabs>
          <w:tab w:val="left" w:pos="142"/>
        </w:tabs>
        <w:jc w:val="both"/>
        <w:rPr>
          <w:sz w:val="24"/>
          <w:szCs w:val="24"/>
        </w:rPr>
      </w:pPr>
      <w:r>
        <w:rPr>
          <w:sz w:val="24"/>
          <w:szCs w:val="24"/>
        </w:rPr>
        <w:tab/>
      </w:r>
      <w:r>
        <w:rPr>
          <w:sz w:val="24"/>
          <w:szCs w:val="24"/>
        </w:rPr>
        <w:tab/>
      </w:r>
      <w:r w:rsidRPr="00F16DBA">
        <w:rPr>
          <w:sz w:val="24"/>
          <w:szCs w:val="24"/>
        </w:rPr>
        <w:t>Notifié à l'agent le :</w:t>
      </w:r>
      <w:r w:rsidRPr="00F16DBA">
        <w:rPr>
          <w:sz w:val="24"/>
          <w:szCs w:val="24"/>
        </w:rPr>
        <w:tab/>
      </w:r>
      <w:r w:rsidRPr="00F16DBA">
        <w:rPr>
          <w:sz w:val="24"/>
          <w:szCs w:val="24"/>
        </w:rPr>
        <w:tab/>
      </w:r>
      <w:r w:rsidRPr="00F16DBA">
        <w:rPr>
          <w:sz w:val="24"/>
          <w:szCs w:val="24"/>
        </w:rPr>
        <w:tab/>
      </w:r>
      <w:r w:rsidRPr="00F16DBA">
        <w:rPr>
          <w:sz w:val="24"/>
          <w:szCs w:val="24"/>
        </w:rPr>
        <w:tab/>
        <w:t>Fait à ..., le ...</w:t>
      </w:r>
    </w:p>
    <w:p w14:paraId="56A60D65" w14:textId="77777777" w:rsidR="00812320" w:rsidRPr="00B708D2" w:rsidRDefault="0051504B" w:rsidP="00B708D2">
      <w:pPr>
        <w:tabs>
          <w:tab w:val="left" w:pos="142"/>
        </w:tabs>
        <w:jc w:val="both"/>
        <w:rPr>
          <w:sz w:val="24"/>
          <w:szCs w:val="24"/>
        </w:rPr>
      </w:pPr>
      <w:r>
        <w:rPr>
          <w:sz w:val="24"/>
          <w:szCs w:val="24"/>
        </w:rPr>
        <w:tab/>
      </w:r>
      <w:r>
        <w:rPr>
          <w:sz w:val="24"/>
          <w:szCs w:val="24"/>
        </w:rPr>
        <w:tab/>
      </w:r>
      <w:r w:rsidRPr="00F16DBA">
        <w:rPr>
          <w:sz w:val="24"/>
          <w:szCs w:val="24"/>
        </w:rPr>
        <w:t>(</w:t>
      </w:r>
      <w:proofErr w:type="gramStart"/>
      <w:r w:rsidRPr="00F16DBA">
        <w:rPr>
          <w:sz w:val="24"/>
          <w:szCs w:val="24"/>
        </w:rPr>
        <w:t>date</w:t>
      </w:r>
      <w:proofErr w:type="gramEnd"/>
      <w:r w:rsidRPr="00F16DBA">
        <w:rPr>
          <w:sz w:val="24"/>
          <w:szCs w:val="24"/>
        </w:rPr>
        <w:t xml:space="preserve"> et signature)</w:t>
      </w:r>
      <w:r w:rsidRPr="00F16DBA">
        <w:rPr>
          <w:sz w:val="24"/>
          <w:szCs w:val="24"/>
        </w:rPr>
        <w:tab/>
      </w:r>
      <w:r w:rsidRPr="00F16DBA">
        <w:rPr>
          <w:sz w:val="24"/>
          <w:szCs w:val="24"/>
        </w:rPr>
        <w:tab/>
      </w:r>
      <w:r w:rsidRPr="00F16DBA">
        <w:rPr>
          <w:sz w:val="24"/>
          <w:szCs w:val="24"/>
        </w:rPr>
        <w:tab/>
      </w:r>
      <w:r w:rsidRPr="00F16DBA">
        <w:rPr>
          <w:sz w:val="24"/>
          <w:szCs w:val="24"/>
        </w:rPr>
        <w:tab/>
        <w:t xml:space="preserve">Le Maire </w:t>
      </w:r>
      <w:r w:rsidRPr="00F16DBA">
        <w:rPr>
          <w:i/>
          <w:sz w:val="24"/>
          <w:szCs w:val="24"/>
        </w:rPr>
        <w:t>(ou le Président)</w:t>
      </w:r>
      <w:r w:rsidRPr="00F16DBA">
        <w:rPr>
          <w:sz w:val="24"/>
          <w:szCs w:val="24"/>
        </w:rPr>
        <w:t>,</w:t>
      </w:r>
    </w:p>
    <w:sectPr w:rsidR="00812320" w:rsidRPr="00B708D2"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DF7A" w14:textId="77777777" w:rsidR="00B708D2" w:rsidRDefault="00B708D2" w:rsidP="00B708D2">
      <w:r>
        <w:separator/>
      </w:r>
    </w:p>
  </w:endnote>
  <w:endnote w:type="continuationSeparator" w:id="0">
    <w:p w14:paraId="5C2E5D1B" w14:textId="77777777" w:rsidR="00B708D2" w:rsidRDefault="00B708D2" w:rsidP="00B7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8667" w14:textId="4325EBDE" w:rsidR="00DD2D7B" w:rsidRDefault="00F445C8" w:rsidP="00DD2D7B">
    <w:pPr>
      <w:pStyle w:val="Pieddepage"/>
      <w:jc w:val="center"/>
    </w:pPr>
    <w:r>
      <w:t>Pôle juridique e</w:t>
    </w:r>
    <w:r w:rsidR="00B708D2">
      <w:t xml:space="preserve">t carrières CDG60 – </w:t>
    </w:r>
    <w:r w:rsidR="00DD2D7B">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3EAE" w14:textId="77777777" w:rsidR="00B708D2" w:rsidRDefault="00B708D2" w:rsidP="00B708D2">
      <w:r>
        <w:separator/>
      </w:r>
    </w:p>
  </w:footnote>
  <w:footnote w:type="continuationSeparator" w:id="0">
    <w:p w14:paraId="5D7556B4" w14:textId="77777777" w:rsidR="00B708D2" w:rsidRDefault="00B708D2" w:rsidP="00B7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4974" w14:textId="77777777" w:rsidR="00DD2D7B" w:rsidRDefault="00DD2D7B">
    <w:pPr>
      <w:pStyle w:val="En-tte"/>
    </w:pPr>
  </w:p>
  <w:p w14:paraId="79F7D98E" w14:textId="77777777" w:rsidR="00DD2D7B" w:rsidRDefault="00F445C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4B"/>
    <w:rsid w:val="0015749F"/>
    <w:rsid w:val="001F2CAB"/>
    <w:rsid w:val="003728A9"/>
    <w:rsid w:val="0051504B"/>
    <w:rsid w:val="00812320"/>
    <w:rsid w:val="00B708D2"/>
    <w:rsid w:val="00DD2D7B"/>
    <w:rsid w:val="00E67BC4"/>
    <w:rsid w:val="00F145F9"/>
    <w:rsid w:val="00F44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1DB2"/>
  <w15:chartTrackingRefBased/>
  <w15:docId w15:val="{EAAB9D37-828C-41E8-B361-4922898A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4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04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51504B"/>
  </w:style>
  <w:style w:type="paragraph" w:styleId="Retraitcorpsdetexte2">
    <w:name w:val="Body Text Indent 2"/>
    <w:basedOn w:val="Normal"/>
    <w:link w:val="Retraitcorpsdetexte2Car"/>
    <w:uiPriority w:val="99"/>
    <w:unhideWhenUsed/>
    <w:rsid w:val="0051504B"/>
    <w:pPr>
      <w:spacing w:after="120" w:line="480" w:lineRule="auto"/>
      <w:ind w:left="283"/>
    </w:pPr>
  </w:style>
  <w:style w:type="character" w:customStyle="1" w:styleId="Retraitcorpsdetexte2Car">
    <w:name w:val="Retrait corps de texte 2 Car"/>
    <w:basedOn w:val="Policepardfaut"/>
    <w:link w:val="Retraitcorpsdetexte2"/>
    <w:uiPriority w:val="99"/>
    <w:rsid w:val="0051504B"/>
    <w:rPr>
      <w:rFonts w:ascii="Times New Roman" w:eastAsia="Times New Roman" w:hAnsi="Times New Roman" w:cs="Times New Roman"/>
      <w:sz w:val="20"/>
      <w:szCs w:val="20"/>
      <w:lang w:eastAsia="fr-FR"/>
    </w:rPr>
  </w:style>
  <w:style w:type="character" w:styleId="lev">
    <w:name w:val="Strong"/>
    <w:basedOn w:val="Policepardfaut"/>
    <w:uiPriority w:val="22"/>
    <w:qFormat/>
    <w:rsid w:val="0051504B"/>
    <w:rPr>
      <w:b/>
      <w:bCs/>
    </w:rPr>
  </w:style>
  <w:style w:type="paragraph" w:customStyle="1" w:styleId="VuConsidrant">
    <w:name w:val="Vu.Considérant"/>
    <w:basedOn w:val="Normal"/>
    <w:rsid w:val="0051504B"/>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51504B"/>
    <w:pPr>
      <w:tabs>
        <w:tab w:val="center" w:pos="4536"/>
        <w:tab w:val="right" w:pos="9072"/>
      </w:tabs>
    </w:pPr>
  </w:style>
  <w:style w:type="character" w:customStyle="1" w:styleId="PieddepageCar">
    <w:name w:val="Pied de page Car"/>
    <w:basedOn w:val="Policepardfaut"/>
    <w:link w:val="Pieddepage"/>
    <w:uiPriority w:val="99"/>
    <w:rsid w:val="0051504B"/>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1F2C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2018-02-01T15:57:00Z</dcterms:created>
  <dcterms:modified xsi:type="dcterms:W3CDTF">2024-01-24T15:50:00Z</dcterms:modified>
</cp:coreProperties>
</file>