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8965" w14:textId="77777777" w:rsidR="00C17124" w:rsidRPr="00C17124" w:rsidRDefault="00C17124" w:rsidP="00C17124">
      <w:pPr>
        <w:spacing w:after="0" w:line="240" w:lineRule="auto"/>
        <w:jc w:val="center"/>
        <w:rPr>
          <w:rFonts w:ascii="Times New Roman" w:hAnsi="Times New Roman" w:cs="Times New Roman"/>
          <w:b/>
          <w:caps/>
          <w:sz w:val="24"/>
          <w:szCs w:val="24"/>
        </w:rPr>
      </w:pPr>
      <w:r w:rsidRPr="00C17124">
        <w:rPr>
          <w:rFonts w:ascii="Times New Roman" w:hAnsi="Times New Roman" w:cs="Times New Roman"/>
          <w:b/>
          <w:caps/>
          <w:sz w:val="24"/>
          <w:szCs w:val="24"/>
        </w:rPr>
        <w:t>Délibération instituant LA PRIME DE POUVOIR D’ACHAT EXCEPTIONNELLE</w:t>
      </w:r>
    </w:p>
    <w:p w14:paraId="3EEBD400" w14:textId="77777777" w:rsidR="00C17124" w:rsidRPr="00C17124" w:rsidRDefault="00C17124" w:rsidP="00C17124">
      <w:pPr>
        <w:spacing w:after="0" w:line="240" w:lineRule="auto"/>
        <w:jc w:val="both"/>
        <w:rPr>
          <w:rFonts w:ascii="Times New Roman" w:hAnsi="Times New Roman" w:cs="Times New Roman"/>
          <w:i/>
          <w:sz w:val="24"/>
          <w:szCs w:val="24"/>
        </w:rPr>
      </w:pPr>
    </w:p>
    <w:p w14:paraId="7830E029" w14:textId="77777777" w:rsidR="00C17124" w:rsidRPr="00C17124" w:rsidRDefault="00C17124" w:rsidP="00C17124">
      <w:pPr>
        <w:spacing w:after="0" w:line="240" w:lineRule="auto"/>
        <w:jc w:val="center"/>
        <w:rPr>
          <w:rFonts w:ascii="Times New Roman" w:hAnsi="Times New Roman" w:cs="Times New Roman"/>
          <w:b/>
          <w:i/>
          <w:color w:val="FF0000"/>
          <w:sz w:val="24"/>
          <w:szCs w:val="24"/>
        </w:rPr>
      </w:pPr>
    </w:p>
    <w:p w14:paraId="06146EC6" w14:textId="77777777" w:rsidR="00C17124" w:rsidRPr="00C17124" w:rsidRDefault="00C17124" w:rsidP="00C17124">
      <w:pPr>
        <w:tabs>
          <w:tab w:val="left" w:pos="284"/>
          <w:tab w:val="left" w:pos="2552"/>
        </w:tabs>
        <w:spacing w:after="0" w:line="240" w:lineRule="auto"/>
        <w:jc w:val="center"/>
        <w:rPr>
          <w:rFonts w:ascii="Times New Roman" w:hAnsi="Times New Roman" w:cs="Times New Roman"/>
          <w:bCs/>
          <w:color w:val="FF0000"/>
          <w:sz w:val="24"/>
          <w:szCs w:val="24"/>
        </w:rPr>
      </w:pPr>
      <w:r w:rsidRPr="00C17124">
        <w:rPr>
          <w:rFonts w:ascii="Times New Roman" w:hAnsi="Times New Roman" w:cs="Times New Roman"/>
          <w:b/>
          <w:i/>
          <w:iCs/>
          <w:color w:val="FF0000"/>
          <w:sz w:val="24"/>
          <w:szCs w:val="24"/>
        </w:rPr>
        <w:t>Les mentions en italique rouge constituent des commentaires destinés à faciliter la rédaction de la délibération. Ils doivent être supprimés de la délibération définitive.</w:t>
      </w:r>
    </w:p>
    <w:p w14:paraId="58EA485E" w14:textId="77777777" w:rsidR="00C17124" w:rsidRPr="00C17124" w:rsidRDefault="00C17124" w:rsidP="00C17124">
      <w:pPr>
        <w:autoSpaceDE w:val="0"/>
        <w:autoSpaceDN w:val="0"/>
        <w:spacing w:after="0" w:line="240" w:lineRule="auto"/>
        <w:jc w:val="both"/>
        <w:rPr>
          <w:rFonts w:ascii="Times New Roman" w:eastAsia="Times New Roman" w:hAnsi="Times New Roman" w:cs="Times New Roman"/>
          <w:sz w:val="24"/>
          <w:szCs w:val="24"/>
        </w:rPr>
      </w:pPr>
    </w:p>
    <w:p w14:paraId="2EE71EF5" w14:textId="77777777" w:rsidR="00C17124" w:rsidRPr="00C17124" w:rsidRDefault="00C17124" w:rsidP="00C17124">
      <w:pPr>
        <w:autoSpaceDE w:val="0"/>
        <w:autoSpaceDN w:val="0"/>
        <w:spacing w:after="0" w:line="240" w:lineRule="auto"/>
        <w:jc w:val="both"/>
        <w:rPr>
          <w:rFonts w:ascii="Times New Roman" w:eastAsia="Times New Roman" w:hAnsi="Times New Roman" w:cs="Times New Roman"/>
          <w:sz w:val="24"/>
          <w:szCs w:val="24"/>
        </w:rPr>
      </w:pPr>
    </w:p>
    <w:p w14:paraId="739B6A8D" w14:textId="77777777" w:rsidR="00C17124" w:rsidRPr="00C17124" w:rsidRDefault="00C17124" w:rsidP="00C17124">
      <w:pPr>
        <w:autoSpaceDE w:val="0"/>
        <w:autoSpaceDN w:val="0"/>
        <w:spacing w:after="0" w:line="240" w:lineRule="auto"/>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 xml:space="preserve">Le ... </w:t>
      </w:r>
      <w:r w:rsidRPr="00C17124">
        <w:rPr>
          <w:rFonts w:ascii="Times New Roman" w:eastAsia="Times New Roman" w:hAnsi="Times New Roman" w:cs="Times New Roman"/>
          <w:i/>
          <w:iCs/>
          <w:color w:val="FF0000"/>
          <w:sz w:val="24"/>
          <w:szCs w:val="24"/>
        </w:rPr>
        <w:t>(date)</w:t>
      </w:r>
      <w:r w:rsidRPr="00C17124">
        <w:rPr>
          <w:rFonts w:ascii="Times New Roman" w:eastAsia="Times New Roman" w:hAnsi="Times New Roman" w:cs="Times New Roman"/>
          <w:sz w:val="24"/>
          <w:szCs w:val="24"/>
        </w:rPr>
        <w:t xml:space="preserve">, à ... </w:t>
      </w:r>
      <w:r w:rsidRPr="00C17124">
        <w:rPr>
          <w:rFonts w:ascii="Times New Roman" w:eastAsia="Times New Roman" w:hAnsi="Times New Roman" w:cs="Times New Roman"/>
          <w:i/>
          <w:iCs/>
          <w:color w:val="FF0000"/>
          <w:sz w:val="24"/>
          <w:szCs w:val="24"/>
        </w:rPr>
        <w:t>(heure)</w:t>
      </w:r>
      <w:r w:rsidRPr="00C17124">
        <w:rPr>
          <w:rFonts w:ascii="Times New Roman" w:eastAsia="Times New Roman" w:hAnsi="Times New Roman" w:cs="Times New Roman"/>
          <w:sz w:val="24"/>
          <w:szCs w:val="24"/>
        </w:rPr>
        <w:t xml:space="preserve">, en ... </w:t>
      </w:r>
      <w:r w:rsidRPr="00C17124">
        <w:rPr>
          <w:rFonts w:ascii="Times New Roman" w:eastAsia="Times New Roman" w:hAnsi="Times New Roman" w:cs="Times New Roman"/>
          <w:i/>
          <w:iCs/>
          <w:color w:val="FF0000"/>
          <w:sz w:val="24"/>
          <w:szCs w:val="24"/>
        </w:rPr>
        <w:t>(lieu)</w:t>
      </w:r>
      <w:r w:rsidRPr="00C17124">
        <w:rPr>
          <w:rFonts w:ascii="Times New Roman" w:eastAsia="Times New Roman" w:hAnsi="Times New Roman" w:cs="Times New Roman"/>
          <w:sz w:val="24"/>
          <w:szCs w:val="24"/>
        </w:rPr>
        <w:t xml:space="preserve"> se sont réunis les membres du Conseil Municipal </w:t>
      </w:r>
      <w:r w:rsidRPr="00C17124">
        <w:rPr>
          <w:rFonts w:ascii="Times New Roman" w:eastAsia="Times New Roman" w:hAnsi="Times New Roman" w:cs="Times New Roman"/>
          <w:i/>
          <w:iCs/>
          <w:color w:val="FF0000"/>
          <w:sz w:val="24"/>
          <w:szCs w:val="24"/>
        </w:rPr>
        <w:t>(ou autre assemblée)</w:t>
      </w:r>
      <w:r w:rsidRPr="00C17124">
        <w:rPr>
          <w:rFonts w:ascii="Times New Roman" w:eastAsia="Times New Roman" w:hAnsi="Times New Roman" w:cs="Times New Roman"/>
          <w:sz w:val="24"/>
          <w:szCs w:val="24"/>
        </w:rPr>
        <w:t>, sous la présidence de ..., convoqués le …,</w:t>
      </w:r>
    </w:p>
    <w:p w14:paraId="2C53A35A" w14:textId="77777777" w:rsidR="00C17124" w:rsidRPr="00C17124" w:rsidRDefault="00C17124" w:rsidP="00C17124">
      <w:pPr>
        <w:tabs>
          <w:tab w:val="right" w:leader="dot" w:pos="9072"/>
        </w:tabs>
        <w:autoSpaceDE w:val="0"/>
        <w:autoSpaceDN w:val="0"/>
        <w:spacing w:after="0" w:line="240" w:lineRule="auto"/>
        <w:jc w:val="both"/>
        <w:rPr>
          <w:rFonts w:ascii="Times New Roman" w:eastAsia="Times New Roman" w:hAnsi="Times New Roman" w:cs="Times New Roman"/>
          <w:sz w:val="24"/>
          <w:szCs w:val="24"/>
        </w:rPr>
      </w:pPr>
    </w:p>
    <w:p w14:paraId="1FAE7E8D" w14:textId="77777777" w:rsidR="00C17124" w:rsidRPr="00C17124" w:rsidRDefault="00C17124" w:rsidP="00C17124">
      <w:pPr>
        <w:tabs>
          <w:tab w:val="right" w:leader="dot" w:pos="9072"/>
        </w:tabs>
        <w:autoSpaceDE w:val="0"/>
        <w:autoSpaceDN w:val="0"/>
        <w:spacing w:after="0" w:line="240" w:lineRule="auto"/>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 xml:space="preserve">Étaient présents : </w:t>
      </w:r>
      <w:r w:rsidRPr="00C17124">
        <w:rPr>
          <w:rFonts w:ascii="Times New Roman" w:eastAsia="Times New Roman" w:hAnsi="Times New Roman" w:cs="Times New Roman"/>
          <w:sz w:val="24"/>
          <w:szCs w:val="24"/>
        </w:rPr>
        <w:tab/>
      </w:r>
    </w:p>
    <w:p w14:paraId="0439AC4F" w14:textId="77777777" w:rsidR="00C17124" w:rsidRPr="00C17124" w:rsidRDefault="00C17124" w:rsidP="00C17124">
      <w:pPr>
        <w:tabs>
          <w:tab w:val="left" w:leader="dot" w:pos="9072"/>
        </w:tabs>
        <w:autoSpaceDE w:val="0"/>
        <w:autoSpaceDN w:val="0"/>
        <w:spacing w:after="0" w:line="240" w:lineRule="auto"/>
        <w:jc w:val="both"/>
        <w:rPr>
          <w:rFonts w:ascii="Times New Roman" w:eastAsia="Times New Roman" w:hAnsi="Times New Roman" w:cs="Times New Roman"/>
          <w:sz w:val="24"/>
          <w:szCs w:val="24"/>
        </w:rPr>
      </w:pPr>
    </w:p>
    <w:p w14:paraId="3394184F" w14:textId="77777777" w:rsidR="00C17124" w:rsidRPr="00C17124" w:rsidRDefault="00C17124" w:rsidP="00C17124">
      <w:pPr>
        <w:tabs>
          <w:tab w:val="left" w:leader="dot" w:pos="9072"/>
        </w:tabs>
        <w:autoSpaceDE w:val="0"/>
        <w:autoSpaceDN w:val="0"/>
        <w:spacing w:after="0" w:line="240" w:lineRule="auto"/>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Étaient absent</w:t>
      </w:r>
      <w:r w:rsidRPr="00C17124">
        <w:rPr>
          <w:rFonts w:ascii="Times New Roman" w:eastAsia="Times New Roman" w:hAnsi="Times New Roman" w:cs="Times New Roman"/>
          <w:i/>
          <w:iCs/>
          <w:sz w:val="24"/>
          <w:szCs w:val="24"/>
        </w:rPr>
        <w:t>(s)</w:t>
      </w:r>
      <w:r w:rsidRPr="00C17124">
        <w:rPr>
          <w:rFonts w:ascii="Times New Roman" w:eastAsia="Times New Roman" w:hAnsi="Times New Roman" w:cs="Times New Roman"/>
          <w:sz w:val="24"/>
          <w:szCs w:val="24"/>
        </w:rPr>
        <w:t xml:space="preserve"> excusé</w:t>
      </w:r>
      <w:r w:rsidRPr="00C17124">
        <w:rPr>
          <w:rFonts w:ascii="Times New Roman" w:eastAsia="Times New Roman" w:hAnsi="Times New Roman" w:cs="Times New Roman"/>
          <w:i/>
          <w:iCs/>
          <w:sz w:val="24"/>
          <w:szCs w:val="24"/>
        </w:rPr>
        <w:t>(s)</w:t>
      </w:r>
      <w:r w:rsidRPr="00C17124">
        <w:rPr>
          <w:rFonts w:ascii="Times New Roman" w:eastAsia="Times New Roman" w:hAnsi="Times New Roman" w:cs="Times New Roman"/>
          <w:sz w:val="24"/>
          <w:szCs w:val="24"/>
        </w:rPr>
        <w:t xml:space="preserve"> : </w:t>
      </w:r>
      <w:r w:rsidRPr="00C17124">
        <w:rPr>
          <w:rFonts w:ascii="Times New Roman" w:eastAsia="Times New Roman" w:hAnsi="Times New Roman" w:cs="Times New Roman"/>
          <w:sz w:val="24"/>
          <w:szCs w:val="24"/>
        </w:rPr>
        <w:tab/>
      </w:r>
    </w:p>
    <w:p w14:paraId="53755EB9" w14:textId="77777777" w:rsidR="00C17124" w:rsidRPr="00C17124" w:rsidRDefault="00C17124" w:rsidP="00C17124">
      <w:pPr>
        <w:tabs>
          <w:tab w:val="left" w:leader="dot" w:pos="9072"/>
        </w:tabs>
        <w:autoSpaceDE w:val="0"/>
        <w:autoSpaceDN w:val="0"/>
        <w:spacing w:after="0" w:line="240" w:lineRule="auto"/>
        <w:jc w:val="both"/>
        <w:rPr>
          <w:rFonts w:ascii="Times New Roman" w:eastAsia="Times New Roman" w:hAnsi="Times New Roman" w:cs="Times New Roman"/>
          <w:sz w:val="24"/>
          <w:szCs w:val="24"/>
        </w:rPr>
      </w:pPr>
    </w:p>
    <w:p w14:paraId="58BFB8BF" w14:textId="77777777" w:rsidR="00C17124" w:rsidRPr="00C17124" w:rsidRDefault="00C17124" w:rsidP="00C17124">
      <w:pPr>
        <w:tabs>
          <w:tab w:val="left" w:leader="dot" w:pos="9072"/>
        </w:tabs>
        <w:autoSpaceDE w:val="0"/>
        <w:autoSpaceDN w:val="0"/>
        <w:spacing w:after="0" w:line="240" w:lineRule="auto"/>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 xml:space="preserve">Le secrétariat a été assuré par : </w:t>
      </w:r>
      <w:r w:rsidRPr="00C17124">
        <w:rPr>
          <w:rFonts w:ascii="Times New Roman" w:eastAsia="Times New Roman" w:hAnsi="Times New Roman" w:cs="Times New Roman"/>
          <w:sz w:val="24"/>
          <w:szCs w:val="24"/>
        </w:rPr>
        <w:tab/>
      </w:r>
    </w:p>
    <w:p w14:paraId="4E1F538C" w14:textId="77777777" w:rsidR="00C17124" w:rsidRPr="00C17124" w:rsidRDefault="00C17124" w:rsidP="00C17124">
      <w:pPr>
        <w:spacing w:after="0" w:line="240" w:lineRule="auto"/>
        <w:jc w:val="both"/>
        <w:rPr>
          <w:rFonts w:ascii="Times New Roman" w:hAnsi="Times New Roman" w:cs="Times New Roman"/>
          <w:sz w:val="24"/>
          <w:szCs w:val="24"/>
        </w:rPr>
      </w:pPr>
    </w:p>
    <w:p w14:paraId="22D50BBC" w14:textId="77777777" w:rsidR="00C17124" w:rsidRPr="00C17124" w:rsidRDefault="00C17124" w:rsidP="00C17124">
      <w:pPr>
        <w:spacing w:after="0"/>
        <w:jc w:val="both"/>
        <w:rPr>
          <w:rFonts w:ascii="Times New Roman" w:eastAsia="Times New Roman" w:hAnsi="Times New Roman" w:cs="Times New Roman"/>
          <w:b/>
          <w:sz w:val="24"/>
          <w:szCs w:val="24"/>
        </w:rPr>
      </w:pPr>
      <w:r w:rsidRPr="00C17124">
        <w:rPr>
          <w:rFonts w:ascii="Times New Roman" w:eastAsia="Times New Roman" w:hAnsi="Times New Roman" w:cs="Times New Roman"/>
          <w:b/>
          <w:snapToGrid w:val="0"/>
          <w:color w:val="000000"/>
          <w:sz w:val="24"/>
          <w:szCs w:val="24"/>
        </w:rPr>
        <w:t xml:space="preserve">Monsieur </w:t>
      </w:r>
      <w:r w:rsidRPr="00C17124">
        <w:rPr>
          <w:rFonts w:ascii="Times New Roman" w:eastAsia="Times New Roman" w:hAnsi="Times New Roman" w:cs="Times New Roman"/>
          <w:b/>
          <w:i/>
          <w:snapToGrid w:val="0"/>
          <w:color w:val="FF0000"/>
          <w:sz w:val="24"/>
          <w:szCs w:val="24"/>
        </w:rPr>
        <w:t>(ou Madame)</w:t>
      </w:r>
      <w:r w:rsidRPr="00C17124">
        <w:rPr>
          <w:rFonts w:ascii="Times New Roman" w:eastAsia="Times New Roman" w:hAnsi="Times New Roman" w:cs="Times New Roman"/>
          <w:b/>
          <w:snapToGrid w:val="0"/>
          <w:color w:val="FF0000"/>
          <w:sz w:val="24"/>
          <w:szCs w:val="24"/>
        </w:rPr>
        <w:t xml:space="preserve"> </w:t>
      </w:r>
      <w:r w:rsidRPr="00C17124">
        <w:rPr>
          <w:rFonts w:ascii="Times New Roman" w:eastAsia="Times New Roman" w:hAnsi="Times New Roman" w:cs="Times New Roman"/>
          <w:b/>
          <w:snapToGrid w:val="0"/>
          <w:color w:val="000000"/>
          <w:sz w:val="24"/>
          <w:szCs w:val="24"/>
        </w:rPr>
        <w:t xml:space="preserve">le Maire </w:t>
      </w:r>
      <w:r w:rsidRPr="00C17124">
        <w:rPr>
          <w:rFonts w:ascii="Times New Roman" w:eastAsia="Times New Roman" w:hAnsi="Times New Roman" w:cs="Times New Roman"/>
          <w:b/>
          <w:i/>
          <w:snapToGrid w:val="0"/>
          <w:color w:val="FF0000"/>
          <w:sz w:val="24"/>
          <w:szCs w:val="24"/>
        </w:rPr>
        <w:t xml:space="preserve">(ou le Président) </w:t>
      </w:r>
      <w:r w:rsidRPr="00C17124">
        <w:rPr>
          <w:rFonts w:ascii="Times New Roman" w:eastAsia="Times New Roman" w:hAnsi="Times New Roman" w:cs="Times New Roman"/>
          <w:b/>
          <w:bCs/>
          <w:iCs/>
          <w:snapToGrid w:val="0"/>
          <w:color w:val="000000"/>
          <w:sz w:val="24"/>
          <w:szCs w:val="24"/>
        </w:rPr>
        <w:t>rappelle à l’assemblée :</w:t>
      </w:r>
    </w:p>
    <w:p w14:paraId="622FF806" w14:textId="77777777" w:rsidR="00C17124" w:rsidRPr="00C17124" w:rsidRDefault="00C17124" w:rsidP="00C17124">
      <w:pPr>
        <w:spacing w:after="0"/>
        <w:jc w:val="both"/>
        <w:rPr>
          <w:rFonts w:ascii="Times New Roman" w:eastAsia="Times New Roman" w:hAnsi="Times New Roman" w:cs="Times New Roman"/>
          <w:sz w:val="24"/>
          <w:szCs w:val="24"/>
        </w:rPr>
      </w:pPr>
    </w:p>
    <w:p w14:paraId="654AD804"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 xml:space="preserve">Lors de la conférence salariale de juin 2023, le Ministre de la Transformation et de la Fonction publiques avait annoncé la consécration d’une prime de pouvoir d’achat exceptionnelle afin de soutenir le pouvoir d’achat des agents publics dans un contexte d’inflation élevée. </w:t>
      </w:r>
    </w:p>
    <w:p w14:paraId="034E097E" w14:textId="77777777" w:rsidR="00C17124" w:rsidRPr="00C17124" w:rsidRDefault="00C17124" w:rsidP="00C17124">
      <w:pPr>
        <w:spacing w:after="0"/>
        <w:jc w:val="both"/>
        <w:rPr>
          <w:rFonts w:ascii="Times New Roman" w:eastAsia="Times New Roman" w:hAnsi="Times New Roman" w:cs="Times New Roman"/>
          <w:sz w:val="24"/>
          <w:szCs w:val="24"/>
        </w:rPr>
      </w:pPr>
    </w:p>
    <w:p w14:paraId="63CED9CC"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Si cette prime était obligatoire pour les fonctions publiques d’État et hospitalières, le Gouvernement avait d’emblée indiqué qu’elle ne serait, en vertu du principe constitutionnel de libre administration des collectivités territoriales, que facultative dans la fonction publique territoriale.</w:t>
      </w:r>
    </w:p>
    <w:p w14:paraId="11865BB4" w14:textId="77777777" w:rsidR="00C17124" w:rsidRPr="00C17124" w:rsidRDefault="00C17124" w:rsidP="00C17124">
      <w:pPr>
        <w:spacing w:after="0"/>
        <w:jc w:val="both"/>
        <w:rPr>
          <w:rFonts w:ascii="Times New Roman" w:eastAsia="Times New Roman" w:hAnsi="Times New Roman" w:cs="Times New Roman"/>
          <w:sz w:val="24"/>
          <w:szCs w:val="24"/>
        </w:rPr>
      </w:pPr>
    </w:p>
    <w:p w14:paraId="6A78C4C8" w14:textId="77777777" w:rsidR="00C17124" w:rsidRPr="00C17124" w:rsidRDefault="00C17124" w:rsidP="00C17124">
      <w:pPr>
        <w:spacing w:after="12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Après celui applicable aux fonctions publiques d’État et hospitalières, le décret n° 2023-1006 du 31 octobre 2023 consacre la prime de pouvoir d’achat exceptionnelle dans la fonction publique territoriale.</w:t>
      </w:r>
    </w:p>
    <w:p w14:paraId="362215EE" w14:textId="77777777" w:rsidR="00C17124" w:rsidRPr="00C17124" w:rsidRDefault="00C17124" w:rsidP="00C17124">
      <w:pPr>
        <w:spacing w:after="12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Il prévoit ainsi que les organes délibérants des collectivités territoriales et de leurs établissements publics peuvent instituer une prime de pouvoir d'achat exceptionnelle forfaitaire et précise les conditions et modalités de versement de cette prime dans la limite du plafond prévu pour chaque niveau de rémunération défini par le barème suivant :</w:t>
      </w:r>
    </w:p>
    <w:tbl>
      <w:tblPr>
        <w:tblStyle w:val="Grilledutableau1"/>
        <w:tblW w:w="9918" w:type="dxa"/>
        <w:jc w:val="center"/>
        <w:tblLook w:val="04A0" w:firstRow="1" w:lastRow="0" w:firstColumn="1" w:lastColumn="0" w:noHBand="0" w:noVBand="1"/>
      </w:tblPr>
      <w:tblGrid>
        <w:gridCol w:w="5008"/>
        <w:gridCol w:w="4910"/>
      </w:tblGrid>
      <w:tr w:rsidR="00C17124" w:rsidRPr="00C17124" w14:paraId="70001DD9" w14:textId="77777777" w:rsidTr="007F7C29">
        <w:trPr>
          <w:jc w:val="center"/>
        </w:trPr>
        <w:tc>
          <w:tcPr>
            <w:tcW w:w="5008" w:type="dxa"/>
            <w:shd w:val="clear" w:color="auto" w:fill="3998A5"/>
          </w:tcPr>
          <w:p w14:paraId="54B02D2B" w14:textId="77777777" w:rsidR="00C17124" w:rsidRPr="00C17124" w:rsidRDefault="00C17124" w:rsidP="00C17124">
            <w:pPr>
              <w:spacing w:after="0"/>
              <w:jc w:val="center"/>
              <w:rPr>
                <w:rFonts w:ascii="Times New Roman" w:eastAsia="Times New Roman" w:hAnsi="Times New Roman" w:cs="Times New Roman"/>
                <w:b/>
                <w:bCs/>
                <w:color w:val="FFFFFF" w:themeColor="background1"/>
                <w:sz w:val="24"/>
                <w:szCs w:val="24"/>
              </w:rPr>
            </w:pPr>
            <w:r w:rsidRPr="00C17124">
              <w:rPr>
                <w:rFonts w:ascii="Times New Roman" w:eastAsia="Times New Roman" w:hAnsi="Times New Roman" w:cs="Times New Roman"/>
                <w:b/>
                <w:bCs/>
                <w:color w:val="FFFFFF" w:themeColor="background1"/>
                <w:sz w:val="24"/>
                <w:szCs w:val="24"/>
              </w:rPr>
              <w:t xml:space="preserve">Rémunération brute perçue au titre de la période courant </w:t>
            </w:r>
            <w:r w:rsidRPr="00C17124">
              <w:rPr>
                <w:rFonts w:ascii="Times New Roman" w:eastAsia="Times New Roman" w:hAnsi="Times New Roman" w:cs="Times New Roman"/>
                <w:b/>
                <w:bCs/>
                <w:color w:val="FFFFFF" w:themeColor="background1"/>
                <w:sz w:val="24"/>
                <w:szCs w:val="24"/>
              </w:rPr>
              <w:br/>
              <w:t>du 1</w:t>
            </w:r>
            <w:r w:rsidRPr="00C17124">
              <w:rPr>
                <w:rFonts w:ascii="Times New Roman" w:eastAsia="Times New Roman" w:hAnsi="Times New Roman" w:cs="Times New Roman"/>
                <w:b/>
                <w:bCs/>
                <w:color w:val="FFFFFF" w:themeColor="background1"/>
                <w:sz w:val="24"/>
                <w:szCs w:val="24"/>
                <w:vertAlign w:val="superscript"/>
              </w:rPr>
              <w:t>er</w:t>
            </w:r>
            <w:r w:rsidRPr="00C17124">
              <w:rPr>
                <w:rFonts w:ascii="Times New Roman" w:eastAsia="Times New Roman" w:hAnsi="Times New Roman" w:cs="Times New Roman"/>
                <w:b/>
                <w:bCs/>
                <w:color w:val="FFFFFF" w:themeColor="background1"/>
                <w:sz w:val="24"/>
                <w:szCs w:val="24"/>
              </w:rPr>
              <w:t xml:space="preserve"> juillet 2022 au 30 juin 2023</w:t>
            </w:r>
          </w:p>
        </w:tc>
        <w:tc>
          <w:tcPr>
            <w:tcW w:w="4910" w:type="dxa"/>
            <w:shd w:val="clear" w:color="auto" w:fill="3998A5"/>
          </w:tcPr>
          <w:p w14:paraId="05C19F12" w14:textId="77777777" w:rsidR="00C17124" w:rsidRPr="00C17124" w:rsidRDefault="00C17124" w:rsidP="00C17124">
            <w:pPr>
              <w:spacing w:after="0"/>
              <w:jc w:val="center"/>
              <w:rPr>
                <w:rFonts w:ascii="Times New Roman" w:eastAsia="Times New Roman" w:hAnsi="Times New Roman" w:cs="Times New Roman"/>
                <w:b/>
                <w:bCs/>
                <w:color w:val="FFFFFF" w:themeColor="background1"/>
                <w:sz w:val="24"/>
                <w:szCs w:val="24"/>
              </w:rPr>
            </w:pPr>
            <w:r w:rsidRPr="00C17124">
              <w:rPr>
                <w:rFonts w:ascii="Times New Roman" w:eastAsia="Times New Roman" w:hAnsi="Times New Roman" w:cs="Times New Roman"/>
                <w:b/>
                <w:bCs/>
                <w:color w:val="FFFFFF" w:themeColor="background1"/>
                <w:sz w:val="24"/>
                <w:szCs w:val="24"/>
              </w:rPr>
              <w:t xml:space="preserve">Montant maximum </w:t>
            </w:r>
            <w:r w:rsidRPr="00C17124">
              <w:rPr>
                <w:rFonts w:ascii="Times New Roman" w:eastAsia="Times New Roman" w:hAnsi="Times New Roman" w:cs="Times New Roman"/>
                <w:b/>
                <w:bCs/>
                <w:color w:val="FFFFFF" w:themeColor="background1"/>
                <w:sz w:val="24"/>
                <w:szCs w:val="24"/>
              </w:rPr>
              <w:br/>
              <w:t>de la prime de pouvoir d'achat</w:t>
            </w:r>
          </w:p>
        </w:tc>
      </w:tr>
      <w:tr w:rsidR="00C17124" w:rsidRPr="00C17124" w14:paraId="391D5A56" w14:textId="77777777" w:rsidTr="007F7C29">
        <w:trPr>
          <w:jc w:val="center"/>
        </w:trPr>
        <w:tc>
          <w:tcPr>
            <w:tcW w:w="5008" w:type="dxa"/>
          </w:tcPr>
          <w:p w14:paraId="4F860365"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Inférieure ou égale à 23 700 €</w:t>
            </w:r>
          </w:p>
        </w:tc>
        <w:tc>
          <w:tcPr>
            <w:tcW w:w="4910" w:type="dxa"/>
          </w:tcPr>
          <w:p w14:paraId="633D1361"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800 €</w:t>
            </w:r>
          </w:p>
        </w:tc>
      </w:tr>
      <w:tr w:rsidR="00C17124" w:rsidRPr="00C17124" w14:paraId="1FCB49FE" w14:textId="77777777" w:rsidTr="007F7C29">
        <w:trPr>
          <w:trHeight w:val="273"/>
          <w:jc w:val="center"/>
        </w:trPr>
        <w:tc>
          <w:tcPr>
            <w:tcW w:w="5008" w:type="dxa"/>
          </w:tcPr>
          <w:p w14:paraId="361F76E0"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23 700 € et inférieure ou égale à 27 300 €</w:t>
            </w:r>
          </w:p>
        </w:tc>
        <w:tc>
          <w:tcPr>
            <w:tcW w:w="4910" w:type="dxa"/>
          </w:tcPr>
          <w:p w14:paraId="70203CD9"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700 €</w:t>
            </w:r>
          </w:p>
        </w:tc>
      </w:tr>
      <w:tr w:rsidR="00C17124" w:rsidRPr="00C17124" w14:paraId="3B20CF9B" w14:textId="77777777" w:rsidTr="007F7C29">
        <w:trPr>
          <w:jc w:val="center"/>
        </w:trPr>
        <w:tc>
          <w:tcPr>
            <w:tcW w:w="5008" w:type="dxa"/>
          </w:tcPr>
          <w:p w14:paraId="54E2642C"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27 300 € et inférieure ou égale à 29 160 €</w:t>
            </w:r>
          </w:p>
        </w:tc>
        <w:tc>
          <w:tcPr>
            <w:tcW w:w="4910" w:type="dxa"/>
          </w:tcPr>
          <w:p w14:paraId="0C29D018"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600 €</w:t>
            </w:r>
          </w:p>
        </w:tc>
      </w:tr>
      <w:tr w:rsidR="00C17124" w:rsidRPr="00C17124" w14:paraId="54F9F696" w14:textId="77777777" w:rsidTr="007F7C29">
        <w:trPr>
          <w:jc w:val="center"/>
        </w:trPr>
        <w:tc>
          <w:tcPr>
            <w:tcW w:w="5008" w:type="dxa"/>
          </w:tcPr>
          <w:p w14:paraId="74C9518F"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29 160 € et inférieure ou égale à 30 840 €</w:t>
            </w:r>
          </w:p>
        </w:tc>
        <w:tc>
          <w:tcPr>
            <w:tcW w:w="4910" w:type="dxa"/>
          </w:tcPr>
          <w:p w14:paraId="6A4ADC7F"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500 €</w:t>
            </w:r>
          </w:p>
        </w:tc>
      </w:tr>
      <w:tr w:rsidR="00C17124" w:rsidRPr="00C17124" w14:paraId="20995F62" w14:textId="77777777" w:rsidTr="007F7C29">
        <w:trPr>
          <w:jc w:val="center"/>
        </w:trPr>
        <w:tc>
          <w:tcPr>
            <w:tcW w:w="5008" w:type="dxa"/>
          </w:tcPr>
          <w:p w14:paraId="1475BB67"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lastRenderedPageBreak/>
              <w:t>Supérieure à 30 840 € et inférieure ou égale à 32 280 €</w:t>
            </w:r>
          </w:p>
        </w:tc>
        <w:tc>
          <w:tcPr>
            <w:tcW w:w="4910" w:type="dxa"/>
          </w:tcPr>
          <w:p w14:paraId="03A308E8"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400 €</w:t>
            </w:r>
          </w:p>
        </w:tc>
      </w:tr>
      <w:tr w:rsidR="00C17124" w:rsidRPr="00C17124" w14:paraId="40641960" w14:textId="77777777" w:rsidTr="007F7C29">
        <w:trPr>
          <w:jc w:val="center"/>
        </w:trPr>
        <w:tc>
          <w:tcPr>
            <w:tcW w:w="5008" w:type="dxa"/>
          </w:tcPr>
          <w:p w14:paraId="36ED07CC"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32 280 € et inférieure ou égale à 33 600 €</w:t>
            </w:r>
          </w:p>
        </w:tc>
        <w:tc>
          <w:tcPr>
            <w:tcW w:w="4910" w:type="dxa"/>
          </w:tcPr>
          <w:p w14:paraId="3E50E4BE"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350 €</w:t>
            </w:r>
          </w:p>
        </w:tc>
      </w:tr>
      <w:tr w:rsidR="00C17124" w:rsidRPr="00C17124" w14:paraId="68FD416B" w14:textId="77777777" w:rsidTr="007F7C29">
        <w:trPr>
          <w:jc w:val="center"/>
        </w:trPr>
        <w:tc>
          <w:tcPr>
            <w:tcW w:w="5008" w:type="dxa"/>
          </w:tcPr>
          <w:p w14:paraId="5B2E553C"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33 600 € et inférieure ou égale à 39 000 €</w:t>
            </w:r>
          </w:p>
        </w:tc>
        <w:tc>
          <w:tcPr>
            <w:tcW w:w="4910" w:type="dxa"/>
          </w:tcPr>
          <w:p w14:paraId="1B88C514"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300 €</w:t>
            </w:r>
          </w:p>
        </w:tc>
      </w:tr>
    </w:tbl>
    <w:p w14:paraId="56C385B4" w14:textId="77777777" w:rsidR="00C17124" w:rsidRPr="00C17124" w:rsidRDefault="00C17124" w:rsidP="00C17124">
      <w:pPr>
        <w:spacing w:after="0"/>
        <w:jc w:val="both"/>
        <w:rPr>
          <w:rFonts w:ascii="Times New Roman" w:eastAsia="Times New Roman" w:hAnsi="Times New Roman" w:cs="Times New Roman"/>
          <w:sz w:val="24"/>
          <w:szCs w:val="24"/>
        </w:rPr>
      </w:pPr>
    </w:p>
    <w:p w14:paraId="25ED3072"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Le décret du 31 octobre 2023 précité prévoit également que, pour bénéficier de cette prime, les agents publics doivent réunir trois conditions cumulatives, c’est-à-dire :</w:t>
      </w:r>
    </w:p>
    <w:p w14:paraId="17684807" w14:textId="311891CF" w:rsidR="00C17124" w:rsidRPr="00C17124" w:rsidRDefault="00C17124" w:rsidP="00C17124">
      <w:pPr>
        <w:numPr>
          <w:ilvl w:val="0"/>
          <w:numId w:val="2"/>
        </w:numPr>
        <w:spacing w:after="0" w:line="259" w:lineRule="auto"/>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 xml:space="preserve">Avoir été nommés ou recrutés par un employeur public </w:t>
      </w:r>
      <w:r w:rsidR="0038534E">
        <w:rPr>
          <w:rFonts w:ascii="Times New Roman" w:eastAsia="Times New Roman" w:hAnsi="Times New Roman" w:cs="Times New Roman"/>
          <w:sz w:val="24"/>
          <w:szCs w:val="24"/>
        </w:rPr>
        <w:t xml:space="preserve">territorial </w:t>
      </w:r>
      <w:r w:rsidRPr="00C17124">
        <w:rPr>
          <w:rFonts w:ascii="Times New Roman" w:eastAsia="Times New Roman" w:hAnsi="Times New Roman" w:cs="Times New Roman"/>
          <w:sz w:val="24"/>
          <w:szCs w:val="24"/>
        </w:rPr>
        <w:t>à une date d’effet antérieure au 1</w:t>
      </w:r>
      <w:r w:rsidRPr="00C17124">
        <w:rPr>
          <w:rFonts w:ascii="Times New Roman" w:eastAsia="Times New Roman" w:hAnsi="Times New Roman" w:cs="Times New Roman"/>
          <w:sz w:val="24"/>
          <w:szCs w:val="24"/>
          <w:vertAlign w:val="superscript"/>
        </w:rPr>
        <w:t>er</w:t>
      </w:r>
      <w:r w:rsidRPr="00C17124">
        <w:rPr>
          <w:rFonts w:ascii="Times New Roman" w:eastAsia="Times New Roman" w:hAnsi="Times New Roman" w:cs="Times New Roman"/>
          <w:sz w:val="24"/>
          <w:szCs w:val="24"/>
        </w:rPr>
        <w:t xml:space="preserve"> janvier 2023 ;</w:t>
      </w:r>
    </w:p>
    <w:p w14:paraId="169FFA61" w14:textId="77777777" w:rsidR="00C17124" w:rsidRPr="00C17124" w:rsidRDefault="00C17124" w:rsidP="00C17124">
      <w:pPr>
        <w:numPr>
          <w:ilvl w:val="0"/>
          <w:numId w:val="2"/>
        </w:numPr>
        <w:spacing w:after="0" w:line="259" w:lineRule="auto"/>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Être employés et rémunérés par un employeur public au 30 juin 2023 ;</w:t>
      </w:r>
    </w:p>
    <w:p w14:paraId="125519CE" w14:textId="77777777" w:rsidR="00C17124" w:rsidRPr="00C17124" w:rsidRDefault="00C17124" w:rsidP="00C17124">
      <w:pPr>
        <w:numPr>
          <w:ilvl w:val="0"/>
          <w:numId w:val="2"/>
        </w:numPr>
        <w:spacing w:after="0" w:line="259" w:lineRule="auto"/>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Avoir perçu une rémunération brute inférieure ou égale à 39 000 euros au titre de la période courant du 1</w:t>
      </w:r>
      <w:r w:rsidRPr="00C17124">
        <w:rPr>
          <w:rFonts w:ascii="Times New Roman" w:eastAsia="Times New Roman" w:hAnsi="Times New Roman" w:cs="Times New Roman"/>
          <w:sz w:val="24"/>
          <w:szCs w:val="24"/>
          <w:vertAlign w:val="superscript"/>
        </w:rPr>
        <w:t>er</w:t>
      </w:r>
      <w:r w:rsidRPr="00C17124">
        <w:rPr>
          <w:rFonts w:ascii="Times New Roman" w:eastAsia="Times New Roman" w:hAnsi="Times New Roman" w:cs="Times New Roman"/>
          <w:sz w:val="24"/>
          <w:szCs w:val="24"/>
        </w:rPr>
        <w:t xml:space="preserve"> juillet 2022 au 30 juin 2023.</w:t>
      </w:r>
    </w:p>
    <w:p w14:paraId="65CBC103" w14:textId="77777777" w:rsidR="00C17124" w:rsidRPr="00C17124" w:rsidRDefault="00C17124" w:rsidP="00C17124">
      <w:pPr>
        <w:spacing w:after="0"/>
        <w:jc w:val="both"/>
        <w:rPr>
          <w:rFonts w:ascii="Times New Roman" w:eastAsia="Times New Roman" w:hAnsi="Times New Roman" w:cs="Times New Roman"/>
          <w:sz w:val="24"/>
          <w:szCs w:val="24"/>
        </w:rPr>
      </w:pPr>
    </w:p>
    <w:p w14:paraId="54B86D60"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Le décret indique enfin que le montant individuel de la prime est déterminé en fonction de la quotité de temps de travail et de la durée de l’emploi de l’agent public sur ladite période du 1</w:t>
      </w:r>
      <w:r w:rsidRPr="00C17124">
        <w:rPr>
          <w:rFonts w:ascii="Times New Roman" w:eastAsia="Times New Roman" w:hAnsi="Times New Roman" w:cs="Times New Roman"/>
          <w:sz w:val="24"/>
          <w:szCs w:val="24"/>
          <w:vertAlign w:val="superscript"/>
        </w:rPr>
        <w:t>er</w:t>
      </w:r>
      <w:r w:rsidRPr="00C17124">
        <w:rPr>
          <w:rFonts w:ascii="Times New Roman" w:eastAsia="Times New Roman" w:hAnsi="Times New Roman" w:cs="Times New Roman"/>
          <w:sz w:val="24"/>
          <w:szCs w:val="24"/>
        </w:rPr>
        <w:t xml:space="preserve"> juillet 2022 au 30 juin 2023.</w:t>
      </w:r>
    </w:p>
    <w:p w14:paraId="4248DB2F" w14:textId="77777777" w:rsidR="00C17124" w:rsidRPr="00C17124" w:rsidRDefault="00C17124" w:rsidP="00C17124">
      <w:pPr>
        <w:spacing w:after="0"/>
        <w:jc w:val="both"/>
        <w:rPr>
          <w:rFonts w:ascii="Times New Roman" w:eastAsia="Times New Roman" w:hAnsi="Times New Roman" w:cs="Times New Roman"/>
          <w:sz w:val="24"/>
          <w:szCs w:val="24"/>
        </w:rPr>
      </w:pPr>
    </w:p>
    <w:p w14:paraId="000D75B7"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Ainsi, les collectivités territoriales et les établissements publics peuvent décider de consacrer par délibération le versement de cette prime de pouvoir d’achat exceptionnelle dans les conditions prévues par le décret précité.</w:t>
      </w:r>
    </w:p>
    <w:p w14:paraId="1F69A694" w14:textId="77777777" w:rsidR="00C17124" w:rsidRPr="00C17124" w:rsidRDefault="00C17124" w:rsidP="00C17124">
      <w:pPr>
        <w:spacing w:after="0"/>
        <w:jc w:val="both"/>
        <w:rPr>
          <w:rFonts w:ascii="Times New Roman" w:eastAsia="Times New Roman" w:hAnsi="Times New Roman" w:cs="Times New Roman"/>
          <w:sz w:val="24"/>
          <w:szCs w:val="24"/>
        </w:rPr>
      </w:pPr>
    </w:p>
    <w:p w14:paraId="33283EFB"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Les collectivités territoriales et les établissements publics locaux ont seulement la liberté, d’une part, de déterminer des montants forfaitaires inférieurs à ceux prévus par le décret précité et, d’autre part, de décider du versement de la prime en une ou plusieurs fois avant le 30 juin 2024.</w:t>
      </w:r>
    </w:p>
    <w:p w14:paraId="2A04E1AD" w14:textId="77777777" w:rsidR="00C17124" w:rsidRPr="00C17124" w:rsidRDefault="00C17124" w:rsidP="00C17124">
      <w:pPr>
        <w:spacing w:after="0"/>
        <w:jc w:val="both"/>
        <w:rPr>
          <w:rFonts w:ascii="Times New Roman" w:eastAsia="Times New Roman" w:hAnsi="Times New Roman" w:cs="Times New Roman"/>
          <w:sz w:val="24"/>
          <w:szCs w:val="24"/>
        </w:rPr>
      </w:pPr>
    </w:p>
    <w:p w14:paraId="1852700F" w14:textId="77777777" w:rsidR="00C17124" w:rsidRPr="00C17124" w:rsidRDefault="00C17124" w:rsidP="00C17124">
      <w:pPr>
        <w:spacing w:after="0"/>
        <w:jc w:val="both"/>
        <w:rPr>
          <w:rFonts w:ascii="Times New Roman" w:eastAsia="Times New Roman" w:hAnsi="Times New Roman" w:cs="Times New Roman"/>
          <w:b/>
          <w:bCs/>
          <w:iCs/>
          <w:snapToGrid w:val="0"/>
          <w:color w:val="000000"/>
          <w:sz w:val="24"/>
          <w:szCs w:val="24"/>
        </w:rPr>
      </w:pPr>
      <w:r w:rsidRPr="00C17124">
        <w:rPr>
          <w:rFonts w:ascii="Times New Roman" w:eastAsia="Times New Roman" w:hAnsi="Times New Roman" w:cs="Times New Roman"/>
          <w:b/>
          <w:bCs/>
          <w:sz w:val="24"/>
          <w:szCs w:val="24"/>
        </w:rPr>
        <w:t xml:space="preserve">Compte tenu du contexte d’inflation et de la perte de pouvoir d’achat des agents publics, il est proposé </w:t>
      </w:r>
      <w:r w:rsidRPr="00C17124">
        <w:rPr>
          <w:rFonts w:ascii="Times New Roman" w:eastAsia="Times New Roman" w:hAnsi="Times New Roman" w:cs="Times New Roman"/>
          <w:b/>
          <w:bCs/>
          <w:iCs/>
          <w:snapToGrid w:val="0"/>
          <w:color w:val="000000"/>
          <w:sz w:val="24"/>
          <w:szCs w:val="24"/>
        </w:rPr>
        <w:t>à l’assemblée </w:t>
      </w:r>
      <w:r w:rsidRPr="00C17124">
        <w:rPr>
          <w:rFonts w:ascii="Times New Roman" w:eastAsia="Times New Roman" w:hAnsi="Times New Roman" w:cs="Times New Roman"/>
          <w:iCs/>
          <w:snapToGrid w:val="0"/>
          <w:color w:val="000000"/>
          <w:sz w:val="24"/>
          <w:szCs w:val="24"/>
        </w:rPr>
        <w:t>de consacrer</w:t>
      </w:r>
      <w:r w:rsidRPr="00C17124">
        <w:rPr>
          <w:rFonts w:ascii="Times New Roman" w:eastAsia="Times New Roman" w:hAnsi="Times New Roman" w:cs="Times New Roman"/>
          <w:sz w:val="24"/>
          <w:szCs w:val="24"/>
        </w:rPr>
        <w:t xml:space="preserve"> la prime de pouvoir d’achat exceptionnelle à tous les agents publics éligibles comme suit :</w:t>
      </w:r>
    </w:p>
    <w:p w14:paraId="2DA1AA7F" w14:textId="77777777" w:rsidR="00C17124" w:rsidRPr="00C17124" w:rsidRDefault="00C17124" w:rsidP="00C17124">
      <w:pPr>
        <w:spacing w:after="0"/>
        <w:jc w:val="both"/>
        <w:rPr>
          <w:rFonts w:ascii="Times New Roman" w:eastAsia="Times New Roman" w:hAnsi="Times New Roman" w:cs="Times New Roman"/>
          <w:sz w:val="24"/>
          <w:szCs w:val="24"/>
        </w:rPr>
      </w:pPr>
    </w:p>
    <w:p w14:paraId="2E1682B6"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Les montants forfaitaires selon le niveau de rémunération brute perçue par les agents publics sur la période du 1</w:t>
      </w:r>
      <w:r w:rsidRPr="00C17124">
        <w:rPr>
          <w:rFonts w:ascii="Times New Roman" w:eastAsia="Times New Roman" w:hAnsi="Times New Roman" w:cs="Times New Roman"/>
          <w:sz w:val="24"/>
          <w:szCs w:val="24"/>
          <w:vertAlign w:val="superscript"/>
        </w:rPr>
        <w:t>er</w:t>
      </w:r>
      <w:r w:rsidRPr="00C17124">
        <w:rPr>
          <w:rFonts w:ascii="Times New Roman" w:eastAsia="Times New Roman" w:hAnsi="Times New Roman" w:cs="Times New Roman"/>
          <w:sz w:val="24"/>
          <w:szCs w:val="24"/>
        </w:rPr>
        <w:t xml:space="preserve"> juillet 2022 au 30 juin 2023 seront ceux déterminés au I de l’article 5 du décret n° 2023-1006 précité.</w:t>
      </w:r>
    </w:p>
    <w:p w14:paraId="30A138EA"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 xml:space="preserve">ou </w:t>
      </w:r>
    </w:p>
    <w:p w14:paraId="054D50FF" w14:textId="18E93DF1" w:rsidR="00C17124" w:rsidRPr="00C17124" w:rsidRDefault="00C17124" w:rsidP="00C17124">
      <w:pPr>
        <w:spacing w:after="0"/>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Les montants forfaitaires selon le niveau de rémunération brute perçue par les agents publics sur la période du 1</w:t>
      </w:r>
      <w:r w:rsidRPr="00C17124">
        <w:rPr>
          <w:rFonts w:ascii="Times New Roman" w:eastAsia="Times New Roman" w:hAnsi="Times New Roman" w:cs="Times New Roman"/>
          <w:b/>
          <w:bCs/>
          <w:i/>
          <w:iCs/>
          <w:color w:val="FF0000"/>
          <w:sz w:val="24"/>
          <w:szCs w:val="24"/>
          <w:vertAlign w:val="superscript"/>
        </w:rPr>
        <w:t>er</w:t>
      </w:r>
      <w:r w:rsidRPr="00C17124">
        <w:rPr>
          <w:rFonts w:ascii="Times New Roman" w:eastAsia="Times New Roman" w:hAnsi="Times New Roman" w:cs="Times New Roman"/>
          <w:b/>
          <w:bCs/>
          <w:i/>
          <w:iCs/>
          <w:color w:val="FF0000"/>
          <w:sz w:val="24"/>
          <w:szCs w:val="24"/>
        </w:rPr>
        <w:t xml:space="preserve"> juillet 2022 au 30 juin 2023 seront :</w:t>
      </w:r>
    </w:p>
    <w:tbl>
      <w:tblPr>
        <w:tblStyle w:val="Grilledutableau1"/>
        <w:tblW w:w="9918" w:type="dxa"/>
        <w:jc w:val="center"/>
        <w:tblLook w:val="04A0" w:firstRow="1" w:lastRow="0" w:firstColumn="1" w:lastColumn="0" w:noHBand="0" w:noVBand="1"/>
      </w:tblPr>
      <w:tblGrid>
        <w:gridCol w:w="5008"/>
        <w:gridCol w:w="4910"/>
      </w:tblGrid>
      <w:tr w:rsidR="00C17124" w:rsidRPr="00C17124" w14:paraId="0B6E466C" w14:textId="77777777" w:rsidTr="007F7C29">
        <w:trPr>
          <w:jc w:val="center"/>
        </w:trPr>
        <w:tc>
          <w:tcPr>
            <w:tcW w:w="5008" w:type="dxa"/>
            <w:shd w:val="clear" w:color="auto" w:fill="3998A5"/>
          </w:tcPr>
          <w:p w14:paraId="0228E716"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 xml:space="preserve">Rémunération brute perçue au titre de la période courant </w:t>
            </w:r>
            <w:r w:rsidRPr="00C17124">
              <w:rPr>
                <w:rFonts w:ascii="Times New Roman" w:eastAsia="Times New Roman" w:hAnsi="Times New Roman" w:cs="Times New Roman"/>
                <w:b/>
                <w:bCs/>
                <w:i/>
                <w:iCs/>
                <w:color w:val="FF0000"/>
                <w:sz w:val="24"/>
                <w:szCs w:val="24"/>
              </w:rPr>
              <w:br/>
              <w:t>du 1</w:t>
            </w:r>
            <w:r w:rsidRPr="00C17124">
              <w:rPr>
                <w:rFonts w:ascii="Times New Roman" w:eastAsia="Times New Roman" w:hAnsi="Times New Roman" w:cs="Times New Roman"/>
                <w:b/>
                <w:bCs/>
                <w:i/>
                <w:iCs/>
                <w:color w:val="FF0000"/>
                <w:sz w:val="24"/>
                <w:szCs w:val="24"/>
                <w:vertAlign w:val="superscript"/>
              </w:rPr>
              <w:t>er</w:t>
            </w:r>
            <w:r w:rsidRPr="00C17124">
              <w:rPr>
                <w:rFonts w:ascii="Times New Roman" w:eastAsia="Times New Roman" w:hAnsi="Times New Roman" w:cs="Times New Roman"/>
                <w:b/>
                <w:bCs/>
                <w:i/>
                <w:iCs/>
                <w:color w:val="FF0000"/>
                <w:sz w:val="24"/>
                <w:szCs w:val="24"/>
              </w:rPr>
              <w:t xml:space="preserve"> juillet 2022 au 30 juin 2023</w:t>
            </w:r>
          </w:p>
        </w:tc>
        <w:tc>
          <w:tcPr>
            <w:tcW w:w="4910" w:type="dxa"/>
            <w:shd w:val="clear" w:color="auto" w:fill="3998A5"/>
          </w:tcPr>
          <w:p w14:paraId="7635DD0E"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 xml:space="preserve">Montant </w:t>
            </w:r>
            <w:r w:rsidRPr="00C17124">
              <w:rPr>
                <w:rFonts w:ascii="Times New Roman" w:eastAsia="Times New Roman" w:hAnsi="Times New Roman" w:cs="Times New Roman"/>
                <w:b/>
                <w:bCs/>
                <w:i/>
                <w:iCs/>
                <w:color w:val="FF0000"/>
                <w:sz w:val="24"/>
                <w:szCs w:val="24"/>
                <w:u w:val="single"/>
              </w:rPr>
              <w:t xml:space="preserve">maximum </w:t>
            </w:r>
            <w:r w:rsidRPr="00C17124">
              <w:rPr>
                <w:rFonts w:ascii="Times New Roman" w:eastAsia="Times New Roman" w:hAnsi="Times New Roman" w:cs="Times New Roman"/>
                <w:b/>
                <w:bCs/>
                <w:i/>
                <w:iCs/>
                <w:color w:val="FF0000"/>
                <w:sz w:val="24"/>
                <w:szCs w:val="24"/>
              </w:rPr>
              <w:br/>
              <w:t>de la prime de pouvoir d'achat</w:t>
            </w:r>
          </w:p>
        </w:tc>
      </w:tr>
      <w:tr w:rsidR="00C17124" w:rsidRPr="00C17124" w14:paraId="3AA9680D" w14:textId="77777777" w:rsidTr="007F7C29">
        <w:trPr>
          <w:jc w:val="center"/>
        </w:trPr>
        <w:tc>
          <w:tcPr>
            <w:tcW w:w="5008" w:type="dxa"/>
          </w:tcPr>
          <w:p w14:paraId="209049AB"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Inférieure ou égale à 23 700 €</w:t>
            </w:r>
          </w:p>
        </w:tc>
        <w:tc>
          <w:tcPr>
            <w:tcW w:w="4910" w:type="dxa"/>
          </w:tcPr>
          <w:p w14:paraId="5A66F3F2"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 €</w:t>
            </w:r>
          </w:p>
        </w:tc>
      </w:tr>
      <w:tr w:rsidR="00C17124" w:rsidRPr="00C17124" w14:paraId="7A63C44A" w14:textId="77777777" w:rsidTr="007F7C29">
        <w:trPr>
          <w:trHeight w:val="273"/>
          <w:jc w:val="center"/>
        </w:trPr>
        <w:tc>
          <w:tcPr>
            <w:tcW w:w="5008" w:type="dxa"/>
          </w:tcPr>
          <w:p w14:paraId="10098C19"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Supérieure à 23 700 € et inférieure ou égale à 27 300 €</w:t>
            </w:r>
          </w:p>
        </w:tc>
        <w:tc>
          <w:tcPr>
            <w:tcW w:w="4910" w:type="dxa"/>
          </w:tcPr>
          <w:p w14:paraId="59505899"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 €</w:t>
            </w:r>
          </w:p>
        </w:tc>
      </w:tr>
      <w:tr w:rsidR="00C17124" w:rsidRPr="00C17124" w14:paraId="541395C2" w14:textId="77777777" w:rsidTr="007F7C29">
        <w:trPr>
          <w:jc w:val="center"/>
        </w:trPr>
        <w:tc>
          <w:tcPr>
            <w:tcW w:w="5008" w:type="dxa"/>
          </w:tcPr>
          <w:p w14:paraId="606E3B80"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lastRenderedPageBreak/>
              <w:t>Supérieure à 27 300 € et inférieure ou égale à 29 160 €</w:t>
            </w:r>
          </w:p>
        </w:tc>
        <w:tc>
          <w:tcPr>
            <w:tcW w:w="4910" w:type="dxa"/>
          </w:tcPr>
          <w:p w14:paraId="7FED77A3"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 €</w:t>
            </w:r>
          </w:p>
        </w:tc>
      </w:tr>
      <w:tr w:rsidR="00C17124" w:rsidRPr="00C17124" w14:paraId="51A6EEFB" w14:textId="77777777" w:rsidTr="007F7C29">
        <w:trPr>
          <w:jc w:val="center"/>
        </w:trPr>
        <w:tc>
          <w:tcPr>
            <w:tcW w:w="5008" w:type="dxa"/>
          </w:tcPr>
          <w:p w14:paraId="0E6522E6"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Supérieure à 29 160 € et inférieure ou égale à 30 840 €</w:t>
            </w:r>
          </w:p>
        </w:tc>
        <w:tc>
          <w:tcPr>
            <w:tcW w:w="4910" w:type="dxa"/>
          </w:tcPr>
          <w:p w14:paraId="58F888DA"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 €</w:t>
            </w:r>
          </w:p>
        </w:tc>
      </w:tr>
      <w:tr w:rsidR="00C17124" w:rsidRPr="00C17124" w14:paraId="77CA0A0B" w14:textId="77777777" w:rsidTr="007F7C29">
        <w:trPr>
          <w:jc w:val="center"/>
        </w:trPr>
        <w:tc>
          <w:tcPr>
            <w:tcW w:w="5008" w:type="dxa"/>
          </w:tcPr>
          <w:p w14:paraId="0C2B0095"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Supérieure à 30 840 € et inférieure ou égale à 32 280 €</w:t>
            </w:r>
          </w:p>
        </w:tc>
        <w:tc>
          <w:tcPr>
            <w:tcW w:w="4910" w:type="dxa"/>
          </w:tcPr>
          <w:p w14:paraId="68C20F18"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w:t>
            </w:r>
          </w:p>
        </w:tc>
      </w:tr>
      <w:tr w:rsidR="00C17124" w:rsidRPr="00C17124" w14:paraId="1782E204" w14:textId="77777777" w:rsidTr="007F7C29">
        <w:trPr>
          <w:jc w:val="center"/>
        </w:trPr>
        <w:tc>
          <w:tcPr>
            <w:tcW w:w="5008" w:type="dxa"/>
          </w:tcPr>
          <w:p w14:paraId="1CF051A4"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Supérieure à 32 280 € et inférieure ou égale à 33 600 €</w:t>
            </w:r>
          </w:p>
        </w:tc>
        <w:tc>
          <w:tcPr>
            <w:tcW w:w="4910" w:type="dxa"/>
          </w:tcPr>
          <w:p w14:paraId="4A78CDFB"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w:t>
            </w:r>
          </w:p>
        </w:tc>
      </w:tr>
      <w:tr w:rsidR="00C17124" w:rsidRPr="00C17124" w14:paraId="4B7405CD" w14:textId="77777777" w:rsidTr="007F7C29">
        <w:trPr>
          <w:jc w:val="center"/>
        </w:trPr>
        <w:tc>
          <w:tcPr>
            <w:tcW w:w="5008" w:type="dxa"/>
          </w:tcPr>
          <w:p w14:paraId="1325600A"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Supérieure à 33 600 € et inférieure ou égale à 39 000 €</w:t>
            </w:r>
          </w:p>
        </w:tc>
        <w:tc>
          <w:tcPr>
            <w:tcW w:w="4910" w:type="dxa"/>
          </w:tcPr>
          <w:p w14:paraId="1BE21609"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 €</w:t>
            </w:r>
          </w:p>
        </w:tc>
      </w:tr>
    </w:tbl>
    <w:p w14:paraId="3D0F5B98" w14:textId="77777777" w:rsidR="00C17124" w:rsidRPr="00C17124" w:rsidRDefault="00C17124" w:rsidP="00C17124">
      <w:pPr>
        <w:spacing w:after="0"/>
        <w:jc w:val="both"/>
        <w:rPr>
          <w:rFonts w:ascii="Times New Roman" w:eastAsia="Times New Roman" w:hAnsi="Times New Roman" w:cs="Times New Roman"/>
          <w:sz w:val="24"/>
          <w:szCs w:val="24"/>
        </w:rPr>
      </w:pPr>
    </w:p>
    <w:p w14:paraId="1139B30F"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Le versement de ladite prime interviendra avant le 30 juin 2024 en une fois.</w:t>
      </w:r>
    </w:p>
    <w:p w14:paraId="6D96FBF2"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 xml:space="preserve">ou </w:t>
      </w:r>
    </w:p>
    <w:p w14:paraId="544C6747"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b/>
          <w:bCs/>
          <w:i/>
          <w:iCs/>
          <w:color w:val="FF0000"/>
          <w:sz w:val="24"/>
          <w:szCs w:val="24"/>
        </w:rPr>
        <w:t>Le versement de ladite prime interviendra avant le 30 juin 2024 en plusieurs fois</w:t>
      </w:r>
      <w:r w:rsidRPr="00C17124">
        <w:rPr>
          <w:rFonts w:ascii="Times New Roman" w:eastAsia="Times New Roman" w:hAnsi="Times New Roman" w:cs="Times New Roman"/>
          <w:sz w:val="24"/>
          <w:szCs w:val="24"/>
        </w:rPr>
        <w:t>.</w:t>
      </w:r>
    </w:p>
    <w:p w14:paraId="1222EC15" w14:textId="77777777" w:rsidR="00C17124" w:rsidRPr="00C17124" w:rsidRDefault="00C17124" w:rsidP="00C17124">
      <w:pPr>
        <w:spacing w:after="0"/>
        <w:jc w:val="both"/>
        <w:rPr>
          <w:rFonts w:ascii="Times New Roman" w:eastAsia="Times New Roman" w:hAnsi="Times New Roman" w:cs="Times New Roman"/>
          <w:sz w:val="24"/>
          <w:szCs w:val="24"/>
        </w:rPr>
      </w:pPr>
    </w:p>
    <w:p w14:paraId="60C79A93" w14:textId="77777777" w:rsidR="00C17124" w:rsidRPr="00C17124" w:rsidRDefault="00C17124" w:rsidP="00C17124">
      <w:pPr>
        <w:spacing w:after="0" w:line="240" w:lineRule="auto"/>
        <w:jc w:val="both"/>
        <w:rPr>
          <w:rFonts w:ascii="Times New Roman" w:eastAsia="Calibri" w:hAnsi="Times New Roman" w:cs="Times New Roman"/>
          <w:b/>
          <w:i/>
          <w:sz w:val="24"/>
          <w:szCs w:val="24"/>
        </w:rPr>
      </w:pPr>
      <w:r w:rsidRPr="00C17124">
        <w:rPr>
          <w:rFonts w:ascii="Times New Roman" w:eastAsia="Calibri" w:hAnsi="Times New Roman" w:cs="Times New Roman"/>
          <w:b/>
          <w:sz w:val="24"/>
          <w:szCs w:val="24"/>
        </w:rPr>
        <w:t xml:space="preserve">Le Conseil Municipal </w:t>
      </w:r>
      <w:r w:rsidRPr="00C17124">
        <w:rPr>
          <w:rFonts w:ascii="Times New Roman" w:eastAsia="Calibri" w:hAnsi="Times New Roman" w:cs="Times New Roman"/>
          <w:b/>
          <w:i/>
          <w:color w:val="FF0000"/>
          <w:sz w:val="24"/>
          <w:szCs w:val="24"/>
        </w:rPr>
        <w:t xml:space="preserve">(ou d’Administration </w:t>
      </w:r>
      <w:r w:rsidRPr="00C17124">
        <w:rPr>
          <w:rFonts w:ascii="Times New Roman" w:eastAsia="Calibri" w:hAnsi="Times New Roman" w:cs="Times New Roman"/>
          <w:b/>
          <w:i/>
          <w:iCs/>
          <w:color w:val="FF0000"/>
          <w:sz w:val="24"/>
          <w:szCs w:val="24"/>
        </w:rPr>
        <w:t>ou autre assemblée)</w:t>
      </w:r>
      <w:r w:rsidRPr="00C17124">
        <w:rPr>
          <w:rFonts w:ascii="Times New Roman" w:eastAsia="Calibri" w:hAnsi="Times New Roman" w:cs="Times New Roman"/>
          <w:b/>
          <w:i/>
          <w:sz w:val="24"/>
          <w:szCs w:val="24"/>
        </w:rPr>
        <w:t>,</w:t>
      </w:r>
    </w:p>
    <w:p w14:paraId="6481D50A" w14:textId="77777777" w:rsidR="00C17124" w:rsidRPr="00C17124" w:rsidRDefault="00C17124" w:rsidP="00C17124">
      <w:pPr>
        <w:autoSpaceDE w:val="0"/>
        <w:autoSpaceDN w:val="0"/>
        <w:spacing w:after="0" w:line="240" w:lineRule="auto"/>
        <w:jc w:val="both"/>
        <w:rPr>
          <w:rFonts w:ascii="Times New Roman" w:eastAsia="Times New Roman" w:hAnsi="Times New Roman" w:cs="Times New Roman"/>
          <w:sz w:val="24"/>
          <w:szCs w:val="24"/>
        </w:rPr>
      </w:pPr>
    </w:p>
    <w:p w14:paraId="63D6C017" w14:textId="77777777" w:rsidR="00C17124" w:rsidRPr="00C17124" w:rsidRDefault="00C17124" w:rsidP="00C17124">
      <w:pPr>
        <w:spacing w:after="0" w:line="240" w:lineRule="auto"/>
        <w:jc w:val="both"/>
        <w:rPr>
          <w:rFonts w:ascii="Times New Roman" w:hAnsi="Times New Roman" w:cs="Times New Roman"/>
          <w:sz w:val="24"/>
          <w:szCs w:val="24"/>
        </w:rPr>
      </w:pPr>
      <w:r w:rsidRPr="00C17124">
        <w:rPr>
          <w:rFonts w:ascii="Times New Roman" w:hAnsi="Times New Roman" w:cs="Times New Roman"/>
          <w:sz w:val="24"/>
          <w:szCs w:val="24"/>
        </w:rPr>
        <w:t>Vu le Code Général des Collectivités Territoriales ;</w:t>
      </w:r>
    </w:p>
    <w:p w14:paraId="40941BEE" w14:textId="77777777" w:rsidR="00C17124" w:rsidRPr="00C17124" w:rsidRDefault="00C17124" w:rsidP="00C17124">
      <w:pPr>
        <w:spacing w:after="0" w:line="240" w:lineRule="auto"/>
        <w:jc w:val="both"/>
        <w:rPr>
          <w:rFonts w:ascii="Times New Roman" w:hAnsi="Times New Roman" w:cs="Times New Roman"/>
          <w:sz w:val="24"/>
          <w:szCs w:val="24"/>
        </w:rPr>
      </w:pPr>
    </w:p>
    <w:p w14:paraId="0D0050AE" w14:textId="77777777" w:rsidR="00C17124" w:rsidRPr="00C17124" w:rsidRDefault="00C17124" w:rsidP="00C17124">
      <w:pPr>
        <w:spacing w:after="0" w:line="240" w:lineRule="auto"/>
        <w:jc w:val="both"/>
        <w:rPr>
          <w:rFonts w:ascii="Times New Roman" w:hAnsi="Times New Roman" w:cs="Times New Roman"/>
          <w:sz w:val="24"/>
          <w:szCs w:val="24"/>
        </w:rPr>
      </w:pPr>
      <w:r w:rsidRPr="00C17124">
        <w:rPr>
          <w:rFonts w:ascii="Times New Roman" w:hAnsi="Times New Roman" w:cs="Times New Roman"/>
          <w:sz w:val="24"/>
          <w:szCs w:val="24"/>
        </w:rPr>
        <w:t>Vu le Code Général de la Fonction Publique, et notamment ses articles L. 712-1 et L. 714-4 ;</w:t>
      </w:r>
    </w:p>
    <w:p w14:paraId="6023E72B" w14:textId="77777777" w:rsidR="00C17124" w:rsidRPr="00C17124" w:rsidRDefault="00C17124" w:rsidP="00C17124">
      <w:pPr>
        <w:spacing w:after="0" w:line="240" w:lineRule="auto"/>
        <w:jc w:val="both"/>
        <w:rPr>
          <w:rFonts w:ascii="Times New Roman" w:hAnsi="Times New Roman" w:cs="Times New Roman"/>
          <w:sz w:val="24"/>
          <w:szCs w:val="24"/>
        </w:rPr>
      </w:pPr>
    </w:p>
    <w:p w14:paraId="5C685328" w14:textId="77777777" w:rsidR="00C17124" w:rsidRPr="00C17124" w:rsidRDefault="00C17124" w:rsidP="00C17124">
      <w:pPr>
        <w:spacing w:after="0" w:line="240" w:lineRule="auto"/>
        <w:jc w:val="both"/>
        <w:rPr>
          <w:rFonts w:ascii="Times New Roman" w:hAnsi="Times New Roman" w:cs="Times New Roman"/>
          <w:sz w:val="24"/>
          <w:szCs w:val="24"/>
        </w:rPr>
      </w:pPr>
      <w:r w:rsidRPr="00C17124">
        <w:rPr>
          <w:rFonts w:ascii="Times New Roman" w:hAnsi="Times New Roman" w:cs="Times New Roman"/>
          <w:sz w:val="24"/>
          <w:szCs w:val="24"/>
        </w:rPr>
        <w:t>Vu le décret n° 2023-1006 du 31 octobre 2023 portant création d'une prime de pouvoir d'achat exceptionnelle pour certains agents publics de la fonction publique territoriale ;</w:t>
      </w:r>
    </w:p>
    <w:p w14:paraId="294B0D02" w14:textId="77777777" w:rsidR="00C17124" w:rsidRPr="00C17124" w:rsidRDefault="00C17124" w:rsidP="00C17124">
      <w:pPr>
        <w:spacing w:after="0" w:line="240" w:lineRule="auto"/>
        <w:jc w:val="both"/>
        <w:rPr>
          <w:rFonts w:ascii="Times New Roman" w:hAnsi="Times New Roman" w:cs="Times New Roman"/>
          <w:sz w:val="24"/>
          <w:szCs w:val="24"/>
        </w:rPr>
      </w:pPr>
    </w:p>
    <w:p w14:paraId="3F3ED9A6" w14:textId="77777777" w:rsidR="00C17124" w:rsidRPr="00C17124" w:rsidRDefault="00C17124" w:rsidP="00C17124">
      <w:pPr>
        <w:spacing w:after="0" w:line="240" w:lineRule="auto"/>
        <w:jc w:val="both"/>
        <w:rPr>
          <w:rFonts w:ascii="Times New Roman" w:hAnsi="Times New Roman" w:cs="Times New Roman"/>
          <w:sz w:val="24"/>
          <w:szCs w:val="24"/>
        </w:rPr>
      </w:pPr>
      <w:r w:rsidRPr="00C17124">
        <w:rPr>
          <w:rFonts w:ascii="Times New Roman" w:hAnsi="Times New Roman" w:cs="Times New Roman"/>
          <w:sz w:val="24"/>
          <w:szCs w:val="24"/>
        </w:rPr>
        <w:t>Vu le décret n° 2021-571 du 10 mai 2021 relatif aux comités sociaux territoriaux des collectivités territoriales et de leurs établissements publics ;</w:t>
      </w:r>
    </w:p>
    <w:p w14:paraId="69307990" w14:textId="77777777" w:rsidR="00C17124" w:rsidRPr="00C17124" w:rsidRDefault="00C17124" w:rsidP="00C17124">
      <w:pPr>
        <w:spacing w:after="0" w:line="240" w:lineRule="auto"/>
        <w:jc w:val="both"/>
        <w:rPr>
          <w:rFonts w:ascii="Times New Roman" w:hAnsi="Times New Roman" w:cs="Times New Roman"/>
          <w:sz w:val="24"/>
          <w:szCs w:val="24"/>
        </w:rPr>
      </w:pPr>
    </w:p>
    <w:p w14:paraId="03B4755D" w14:textId="77777777" w:rsidR="00C17124" w:rsidRPr="00C17124" w:rsidRDefault="00C17124" w:rsidP="00C17124">
      <w:pPr>
        <w:spacing w:after="0" w:line="240" w:lineRule="auto"/>
        <w:jc w:val="both"/>
        <w:rPr>
          <w:rFonts w:ascii="Times New Roman" w:hAnsi="Times New Roman" w:cs="Times New Roman"/>
          <w:sz w:val="24"/>
          <w:szCs w:val="24"/>
        </w:rPr>
      </w:pPr>
      <w:r w:rsidRPr="00C17124">
        <w:rPr>
          <w:rFonts w:ascii="Times New Roman" w:hAnsi="Times New Roman" w:cs="Times New Roman"/>
          <w:sz w:val="24"/>
          <w:szCs w:val="24"/>
        </w:rPr>
        <w:t>Vu le tableau des effectifs ;</w:t>
      </w:r>
    </w:p>
    <w:p w14:paraId="3D07216A" w14:textId="77777777" w:rsidR="00C17124" w:rsidRPr="00C17124" w:rsidRDefault="00C17124" w:rsidP="00C17124">
      <w:pPr>
        <w:spacing w:after="0" w:line="240" w:lineRule="auto"/>
        <w:jc w:val="both"/>
        <w:rPr>
          <w:rFonts w:ascii="Times New Roman" w:hAnsi="Times New Roman" w:cs="Times New Roman"/>
          <w:sz w:val="24"/>
          <w:szCs w:val="24"/>
        </w:rPr>
      </w:pPr>
    </w:p>
    <w:p w14:paraId="5599B4ED" w14:textId="77777777" w:rsidR="00C17124" w:rsidRPr="00C17124" w:rsidRDefault="00C17124" w:rsidP="00C17124">
      <w:pPr>
        <w:spacing w:after="0" w:line="240" w:lineRule="auto"/>
        <w:jc w:val="both"/>
        <w:rPr>
          <w:rFonts w:ascii="Times New Roman" w:hAnsi="Times New Roman" w:cs="Times New Roman"/>
          <w:i/>
          <w:sz w:val="24"/>
          <w:szCs w:val="24"/>
        </w:rPr>
      </w:pPr>
      <w:r w:rsidRPr="00C17124">
        <w:rPr>
          <w:rFonts w:ascii="Times New Roman" w:hAnsi="Times New Roman" w:cs="Times New Roman"/>
          <w:sz w:val="24"/>
          <w:szCs w:val="24"/>
        </w:rPr>
        <w:t xml:space="preserve">Vu l’avis du Comité social territorial en date </w:t>
      </w:r>
      <w:r w:rsidRPr="00C17124">
        <w:rPr>
          <w:rFonts w:ascii="Times New Roman" w:hAnsi="Times New Roman" w:cs="Times New Roman"/>
          <w:color w:val="FF0000"/>
          <w:sz w:val="24"/>
          <w:szCs w:val="24"/>
        </w:rPr>
        <w:t xml:space="preserve">du … </w:t>
      </w:r>
      <w:r w:rsidRPr="00C17124">
        <w:rPr>
          <w:rFonts w:ascii="Times New Roman" w:hAnsi="Times New Roman" w:cs="Times New Roman"/>
          <w:i/>
          <w:color w:val="FF0000"/>
          <w:sz w:val="24"/>
          <w:szCs w:val="24"/>
        </w:rPr>
        <w:t>(</w:t>
      </w:r>
      <w:r w:rsidRPr="00C17124">
        <w:rPr>
          <w:rFonts w:ascii="Times New Roman" w:hAnsi="Times New Roman" w:cs="Times New Roman"/>
          <w:b/>
          <w:i/>
          <w:color w:val="FF0000"/>
          <w:sz w:val="24"/>
          <w:szCs w:val="24"/>
          <w:u w:val="single"/>
        </w:rPr>
        <w:t>Rappel</w:t>
      </w:r>
      <w:r w:rsidRPr="00C17124">
        <w:rPr>
          <w:rFonts w:ascii="Times New Roman" w:hAnsi="Times New Roman" w:cs="Times New Roman"/>
          <w:i/>
          <w:color w:val="FF0000"/>
          <w:sz w:val="24"/>
          <w:szCs w:val="24"/>
        </w:rPr>
        <w:t xml:space="preserve"> : </w:t>
      </w:r>
      <w:r w:rsidRPr="00C17124">
        <w:rPr>
          <w:rFonts w:ascii="Times New Roman" w:hAnsi="Times New Roman" w:cs="Times New Roman"/>
          <w:b/>
          <w:i/>
          <w:color w:val="FF0000"/>
          <w:sz w:val="24"/>
          <w:szCs w:val="24"/>
        </w:rPr>
        <w:t xml:space="preserve">il est impératif d’obtenir </w:t>
      </w:r>
      <w:r w:rsidRPr="00C17124">
        <w:rPr>
          <w:rFonts w:ascii="Times New Roman" w:hAnsi="Times New Roman" w:cs="Times New Roman"/>
          <w:b/>
          <w:i/>
          <w:color w:val="FF0000"/>
          <w:sz w:val="24"/>
          <w:szCs w:val="24"/>
          <w:u w:val="single"/>
        </w:rPr>
        <w:t>l’avis du comité social territorial</w:t>
      </w:r>
      <w:r w:rsidRPr="00C17124">
        <w:rPr>
          <w:rFonts w:ascii="Times New Roman" w:hAnsi="Times New Roman" w:cs="Times New Roman"/>
          <w:b/>
          <w:i/>
          <w:color w:val="FF0000"/>
          <w:sz w:val="24"/>
          <w:szCs w:val="24"/>
        </w:rPr>
        <w:t xml:space="preserve"> compétent avant de délibérer</w:t>
      </w:r>
      <w:r w:rsidRPr="00C17124">
        <w:rPr>
          <w:rFonts w:ascii="Times New Roman" w:hAnsi="Times New Roman" w:cs="Times New Roman"/>
          <w:i/>
          <w:color w:val="FF0000"/>
          <w:sz w:val="24"/>
          <w:szCs w:val="24"/>
        </w:rPr>
        <w:t>)</w:t>
      </w:r>
    </w:p>
    <w:p w14:paraId="04BEC4A3" w14:textId="77777777" w:rsidR="00C17124" w:rsidRPr="00C17124" w:rsidRDefault="00C17124" w:rsidP="00C17124">
      <w:pPr>
        <w:spacing w:after="0" w:line="240" w:lineRule="auto"/>
        <w:jc w:val="both"/>
        <w:rPr>
          <w:rFonts w:ascii="Times New Roman" w:hAnsi="Times New Roman" w:cs="Times New Roman"/>
          <w:sz w:val="24"/>
          <w:szCs w:val="24"/>
        </w:rPr>
      </w:pPr>
    </w:p>
    <w:p w14:paraId="258A6135" w14:textId="77777777" w:rsidR="00C17124" w:rsidRPr="00C17124" w:rsidRDefault="00C17124" w:rsidP="00C17124">
      <w:pPr>
        <w:spacing w:after="0"/>
        <w:jc w:val="both"/>
        <w:rPr>
          <w:rFonts w:ascii="Times New Roman" w:eastAsia="Times New Roman" w:hAnsi="Times New Roman" w:cs="Times New Roman"/>
          <w:b/>
          <w:bCs/>
          <w:sz w:val="24"/>
          <w:szCs w:val="24"/>
        </w:rPr>
      </w:pPr>
      <w:r w:rsidRPr="00C17124">
        <w:rPr>
          <w:rFonts w:ascii="Times New Roman" w:eastAsia="Times New Roman" w:hAnsi="Times New Roman" w:cs="Times New Roman"/>
          <w:b/>
          <w:bCs/>
          <w:sz w:val="24"/>
          <w:szCs w:val="24"/>
        </w:rPr>
        <w:t xml:space="preserve">Le </w:t>
      </w:r>
      <w:r w:rsidRPr="00C17124">
        <w:rPr>
          <w:rFonts w:ascii="Times New Roman" w:eastAsia="Times New Roman" w:hAnsi="Times New Roman" w:cs="Times New Roman"/>
          <w:b/>
          <w:bCs/>
          <w:iCs/>
          <w:color w:val="000000" w:themeColor="text1"/>
          <w:sz w:val="24"/>
          <w:szCs w:val="24"/>
        </w:rPr>
        <w:t>conseil municipal</w:t>
      </w:r>
      <w:r w:rsidRPr="00C17124">
        <w:rPr>
          <w:rFonts w:ascii="Times New Roman" w:eastAsia="Times New Roman" w:hAnsi="Times New Roman" w:cs="Times New Roman"/>
          <w:b/>
          <w:bCs/>
          <w:i/>
          <w:color w:val="000000" w:themeColor="text1"/>
          <w:sz w:val="24"/>
          <w:szCs w:val="24"/>
        </w:rPr>
        <w:t xml:space="preserve"> </w:t>
      </w:r>
      <w:r w:rsidRPr="00C17124">
        <w:rPr>
          <w:rFonts w:ascii="Times New Roman" w:eastAsia="Times New Roman" w:hAnsi="Times New Roman" w:cs="Times New Roman"/>
          <w:b/>
          <w:bCs/>
          <w:i/>
          <w:color w:val="FF0000"/>
          <w:sz w:val="24"/>
          <w:szCs w:val="24"/>
        </w:rPr>
        <w:t>(ou autre assemblée)</w:t>
      </w:r>
      <w:r w:rsidRPr="00C17124">
        <w:rPr>
          <w:rFonts w:ascii="Times New Roman" w:eastAsia="Times New Roman" w:hAnsi="Times New Roman" w:cs="Times New Roman"/>
          <w:b/>
          <w:bCs/>
          <w:sz w:val="24"/>
          <w:szCs w:val="24"/>
        </w:rPr>
        <w:t>, après en avoir délibéré ;</w:t>
      </w:r>
    </w:p>
    <w:p w14:paraId="48BFE660" w14:textId="77777777" w:rsidR="00C17124" w:rsidRPr="00C17124" w:rsidRDefault="00C17124" w:rsidP="00C17124">
      <w:pPr>
        <w:spacing w:after="0"/>
        <w:jc w:val="center"/>
        <w:rPr>
          <w:rFonts w:ascii="Times New Roman" w:eastAsia="Times New Roman" w:hAnsi="Times New Roman" w:cs="Times New Roman"/>
          <w:b/>
          <w:sz w:val="24"/>
          <w:szCs w:val="24"/>
        </w:rPr>
      </w:pPr>
    </w:p>
    <w:p w14:paraId="04F5CC97" w14:textId="77777777" w:rsidR="00C17124" w:rsidRPr="00C17124" w:rsidRDefault="00C17124" w:rsidP="00C17124">
      <w:pPr>
        <w:spacing w:after="0"/>
        <w:jc w:val="center"/>
        <w:rPr>
          <w:rFonts w:ascii="Times New Roman" w:eastAsia="Times New Roman" w:hAnsi="Times New Roman" w:cs="Times New Roman"/>
          <w:b/>
          <w:sz w:val="24"/>
          <w:szCs w:val="24"/>
        </w:rPr>
      </w:pPr>
      <w:r w:rsidRPr="00C17124">
        <w:rPr>
          <w:rFonts w:ascii="Times New Roman" w:eastAsia="Times New Roman" w:hAnsi="Times New Roman" w:cs="Times New Roman"/>
          <w:b/>
          <w:sz w:val="24"/>
          <w:szCs w:val="24"/>
        </w:rPr>
        <w:t>DECIDE</w:t>
      </w:r>
    </w:p>
    <w:p w14:paraId="64B67CEB" w14:textId="77777777" w:rsidR="00C17124" w:rsidRPr="00C17124" w:rsidRDefault="00C17124" w:rsidP="00C17124">
      <w:pPr>
        <w:spacing w:after="0"/>
        <w:jc w:val="both"/>
        <w:rPr>
          <w:rFonts w:ascii="Times New Roman" w:eastAsia="Times New Roman" w:hAnsi="Times New Roman" w:cs="Times New Roman"/>
          <w:sz w:val="24"/>
          <w:szCs w:val="24"/>
        </w:rPr>
      </w:pPr>
    </w:p>
    <w:p w14:paraId="47E328D3"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b/>
          <w:sz w:val="24"/>
          <w:szCs w:val="24"/>
          <w:u w:val="single"/>
        </w:rPr>
        <w:t>Article 1</w:t>
      </w:r>
      <w:r w:rsidRPr="00C17124">
        <w:rPr>
          <w:rFonts w:ascii="Times New Roman" w:eastAsia="Times New Roman" w:hAnsi="Times New Roman" w:cs="Times New Roman"/>
          <w:sz w:val="24"/>
          <w:szCs w:val="24"/>
        </w:rPr>
        <w:t xml:space="preserve"> : </w:t>
      </w:r>
    </w:p>
    <w:p w14:paraId="70A1FE3E"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 xml:space="preserve">D’instituer la prime de pouvoir d’achat exceptionnelle aux agents publics éligibles conformément au décret n° 2023-1006 du 31 octobre 2023. </w:t>
      </w:r>
    </w:p>
    <w:p w14:paraId="11A37754" w14:textId="77777777" w:rsidR="00C17124" w:rsidRPr="00C17124" w:rsidRDefault="00C17124" w:rsidP="00C17124">
      <w:pPr>
        <w:spacing w:after="0"/>
        <w:jc w:val="both"/>
        <w:rPr>
          <w:rFonts w:ascii="Times New Roman" w:eastAsia="Times New Roman" w:hAnsi="Times New Roman" w:cs="Times New Roman"/>
          <w:sz w:val="24"/>
          <w:szCs w:val="24"/>
        </w:rPr>
      </w:pPr>
    </w:p>
    <w:p w14:paraId="47258D15"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b/>
          <w:sz w:val="24"/>
          <w:szCs w:val="24"/>
          <w:u w:val="single"/>
        </w:rPr>
        <w:t>Article 2</w:t>
      </w:r>
      <w:r w:rsidRPr="00C17124">
        <w:rPr>
          <w:rFonts w:ascii="Times New Roman" w:eastAsia="Times New Roman" w:hAnsi="Times New Roman" w:cs="Times New Roman"/>
          <w:sz w:val="24"/>
          <w:szCs w:val="24"/>
        </w:rPr>
        <w:t xml:space="preserve"> : </w:t>
      </w:r>
    </w:p>
    <w:p w14:paraId="06A247FB"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De déterminer, en fonction des niveaux de rémunération brute perçue par chaque agent sur la période du 1</w:t>
      </w:r>
      <w:r w:rsidRPr="00C17124">
        <w:rPr>
          <w:rFonts w:ascii="Times New Roman" w:eastAsia="Times New Roman" w:hAnsi="Times New Roman" w:cs="Times New Roman"/>
          <w:sz w:val="24"/>
          <w:szCs w:val="24"/>
          <w:vertAlign w:val="superscript"/>
        </w:rPr>
        <w:t>er</w:t>
      </w:r>
      <w:r w:rsidRPr="00C17124">
        <w:rPr>
          <w:rFonts w:ascii="Times New Roman" w:eastAsia="Times New Roman" w:hAnsi="Times New Roman" w:cs="Times New Roman"/>
          <w:sz w:val="24"/>
          <w:szCs w:val="24"/>
        </w:rPr>
        <w:t xml:space="preserve"> juillet 2022 au 30 juin 2023, les montants forfaitaires prévus au I de l’article 5 du décret n° 2023-1006 du 31 octobre 2023.</w:t>
      </w:r>
    </w:p>
    <w:p w14:paraId="1AB02A7F"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Ou</w:t>
      </w:r>
    </w:p>
    <w:p w14:paraId="735B1A75"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lastRenderedPageBreak/>
        <w:t>De déterminer, en fonction des niveaux de rémunération brute perçue par chaque agent sur la période du 1</w:t>
      </w:r>
      <w:r w:rsidRPr="00C17124">
        <w:rPr>
          <w:rFonts w:ascii="Times New Roman" w:eastAsia="Times New Roman" w:hAnsi="Times New Roman" w:cs="Times New Roman"/>
          <w:b/>
          <w:bCs/>
          <w:i/>
          <w:iCs/>
          <w:color w:val="FF0000"/>
          <w:sz w:val="24"/>
          <w:szCs w:val="24"/>
          <w:vertAlign w:val="superscript"/>
        </w:rPr>
        <w:t>er</w:t>
      </w:r>
      <w:r w:rsidRPr="00C17124">
        <w:rPr>
          <w:rFonts w:ascii="Times New Roman" w:eastAsia="Times New Roman" w:hAnsi="Times New Roman" w:cs="Times New Roman"/>
          <w:b/>
          <w:bCs/>
          <w:i/>
          <w:iCs/>
          <w:color w:val="FF0000"/>
          <w:sz w:val="24"/>
          <w:szCs w:val="24"/>
        </w:rPr>
        <w:t xml:space="preserve"> juillet 2022 au 30 juin 2023, les montants forfaitaires suivants :</w:t>
      </w:r>
    </w:p>
    <w:p w14:paraId="0912EFEC"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p>
    <w:tbl>
      <w:tblPr>
        <w:tblStyle w:val="Grilledutableau1"/>
        <w:tblW w:w="9918" w:type="dxa"/>
        <w:jc w:val="center"/>
        <w:tblLook w:val="04A0" w:firstRow="1" w:lastRow="0" w:firstColumn="1" w:lastColumn="0" w:noHBand="0" w:noVBand="1"/>
      </w:tblPr>
      <w:tblGrid>
        <w:gridCol w:w="5008"/>
        <w:gridCol w:w="4910"/>
      </w:tblGrid>
      <w:tr w:rsidR="00C17124" w:rsidRPr="00C17124" w14:paraId="09F1D5D5" w14:textId="77777777" w:rsidTr="007F7C29">
        <w:trPr>
          <w:jc w:val="center"/>
        </w:trPr>
        <w:tc>
          <w:tcPr>
            <w:tcW w:w="5008" w:type="dxa"/>
            <w:shd w:val="clear" w:color="auto" w:fill="3998A5"/>
          </w:tcPr>
          <w:p w14:paraId="368AD620" w14:textId="77777777" w:rsidR="00C17124" w:rsidRPr="00C17124" w:rsidRDefault="00C17124" w:rsidP="00C17124">
            <w:pPr>
              <w:spacing w:after="0"/>
              <w:jc w:val="center"/>
              <w:rPr>
                <w:rFonts w:ascii="Times New Roman" w:eastAsia="Times New Roman" w:hAnsi="Times New Roman" w:cs="Times New Roman"/>
                <w:b/>
                <w:bCs/>
                <w:sz w:val="24"/>
                <w:szCs w:val="24"/>
              </w:rPr>
            </w:pPr>
            <w:r w:rsidRPr="00C17124">
              <w:rPr>
                <w:rFonts w:ascii="Times New Roman" w:eastAsia="Times New Roman" w:hAnsi="Times New Roman" w:cs="Times New Roman"/>
                <w:b/>
                <w:bCs/>
                <w:sz w:val="24"/>
                <w:szCs w:val="24"/>
              </w:rPr>
              <w:t xml:space="preserve">Rémunération brute perçue au titre de la période courant </w:t>
            </w:r>
            <w:r w:rsidRPr="00C17124">
              <w:rPr>
                <w:rFonts w:ascii="Times New Roman" w:eastAsia="Times New Roman" w:hAnsi="Times New Roman" w:cs="Times New Roman"/>
                <w:b/>
                <w:bCs/>
                <w:sz w:val="24"/>
                <w:szCs w:val="24"/>
              </w:rPr>
              <w:br/>
              <w:t>du 1</w:t>
            </w:r>
            <w:r w:rsidRPr="00C17124">
              <w:rPr>
                <w:rFonts w:ascii="Times New Roman" w:eastAsia="Times New Roman" w:hAnsi="Times New Roman" w:cs="Times New Roman"/>
                <w:b/>
                <w:bCs/>
                <w:sz w:val="24"/>
                <w:szCs w:val="24"/>
                <w:vertAlign w:val="superscript"/>
              </w:rPr>
              <w:t>er</w:t>
            </w:r>
            <w:r w:rsidRPr="00C17124">
              <w:rPr>
                <w:rFonts w:ascii="Times New Roman" w:eastAsia="Times New Roman" w:hAnsi="Times New Roman" w:cs="Times New Roman"/>
                <w:b/>
                <w:bCs/>
                <w:sz w:val="24"/>
                <w:szCs w:val="24"/>
              </w:rPr>
              <w:t xml:space="preserve"> juillet 2022 au 30 juin 2023</w:t>
            </w:r>
          </w:p>
        </w:tc>
        <w:tc>
          <w:tcPr>
            <w:tcW w:w="4910" w:type="dxa"/>
            <w:shd w:val="clear" w:color="auto" w:fill="3998A5"/>
          </w:tcPr>
          <w:p w14:paraId="0745559B" w14:textId="77777777" w:rsidR="00C17124" w:rsidRPr="00C17124" w:rsidRDefault="00C17124" w:rsidP="00C17124">
            <w:pPr>
              <w:spacing w:after="0"/>
              <w:jc w:val="center"/>
              <w:rPr>
                <w:rFonts w:ascii="Times New Roman" w:eastAsia="Times New Roman" w:hAnsi="Times New Roman" w:cs="Times New Roman"/>
                <w:b/>
                <w:bCs/>
                <w:sz w:val="24"/>
                <w:szCs w:val="24"/>
              </w:rPr>
            </w:pPr>
            <w:r w:rsidRPr="00C17124">
              <w:rPr>
                <w:rFonts w:ascii="Times New Roman" w:eastAsia="Times New Roman" w:hAnsi="Times New Roman" w:cs="Times New Roman"/>
                <w:b/>
                <w:bCs/>
                <w:sz w:val="24"/>
                <w:szCs w:val="24"/>
              </w:rPr>
              <w:t xml:space="preserve">Montant </w:t>
            </w:r>
            <w:r w:rsidRPr="00C17124">
              <w:rPr>
                <w:rFonts w:ascii="Times New Roman" w:eastAsia="Times New Roman" w:hAnsi="Times New Roman" w:cs="Times New Roman"/>
                <w:b/>
                <w:bCs/>
                <w:sz w:val="24"/>
                <w:szCs w:val="24"/>
                <w:u w:val="single"/>
              </w:rPr>
              <w:t xml:space="preserve">maximum </w:t>
            </w:r>
            <w:r w:rsidRPr="00C17124">
              <w:rPr>
                <w:rFonts w:ascii="Times New Roman" w:eastAsia="Times New Roman" w:hAnsi="Times New Roman" w:cs="Times New Roman"/>
                <w:b/>
                <w:bCs/>
                <w:sz w:val="24"/>
                <w:szCs w:val="24"/>
              </w:rPr>
              <w:br/>
              <w:t>de la prime de pouvoir d'achat</w:t>
            </w:r>
          </w:p>
        </w:tc>
      </w:tr>
      <w:tr w:rsidR="00C17124" w:rsidRPr="00C17124" w14:paraId="0323C097" w14:textId="77777777" w:rsidTr="007F7C29">
        <w:trPr>
          <w:jc w:val="center"/>
        </w:trPr>
        <w:tc>
          <w:tcPr>
            <w:tcW w:w="5008" w:type="dxa"/>
          </w:tcPr>
          <w:p w14:paraId="1DA4FA8A"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Inférieure ou égale à 23 700 €</w:t>
            </w:r>
          </w:p>
        </w:tc>
        <w:tc>
          <w:tcPr>
            <w:tcW w:w="4910" w:type="dxa"/>
          </w:tcPr>
          <w:p w14:paraId="5D2C2F69"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XXX €</w:t>
            </w:r>
          </w:p>
        </w:tc>
      </w:tr>
      <w:tr w:rsidR="00C17124" w:rsidRPr="00C17124" w14:paraId="687F2F65" w14:textId="77777777" w:rsidTr="007F7C29">
        <w:trPr>
          <w:trHeight w:val="273"/>
          <w:jc w:val="center"/>
        </w:trPr>
        <w:tc>
          <w:tcPr>
            <w:tcW w:w="5008" w:type="dxa"/>
          </w:tcPr>
          <w:p w14:paraId="0DA0147C"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23 700 € et inférieure ou égale à 27 300 €</w:t>
            </w:r>
          </w:p>
        </w:tc>
        <w:tc>
          <w:tcPr>
            <w:tcW w:w="4910" w:type="dxa"/>
          </w:tcPr>
          <w:p w14:paraId="513E924B"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XXX €</w:t>
            </w:r>
          </w:p>
        </w:tc>
      </w:tr>
      <w:tr w:rsidR="00C17124" w:rsidRPr="00C17124" w14:paraId="7593E7C1" w14:textId="77777777" w:rsidTr="007F7C29">
        <w:trPr>
          <w:jc w:val="center"/>
        </w:trPr>
        <w:tc>
          <w:tcPr>
            <w:tcW w:w="5008" w:type="dxa"/>
          </w:tcPr>
          <w:p w14:paraId="724A21F6"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27 300 € et inférieure ou égale à 29 160 €</w:t>
            </w:r>
          </w:p>
        </w:tc>
        <w:tc>
          <w:tcPr>
            <w:tcW w:w="4910" w:type="dxa"/>
          </w:tcPr>
          <w:p w14:paraId="2105C644"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XXX €</w:t>
            </w:r>
          </w:p>
        </w:tc>
      </w:tr>
      <w:tr w:rsidR="00C17124" w:rsidRPr="00C17124" w14:paraId="380E40A3" w14:textId="77777777" w:rsidTr="007F7C29">
        <w:trPr>
          <w:jc w:val="center"/>
        </w:trPr>
        <w:tc>
          <w:tcPr>
            <w:tcW w:w="5008" w:type="dxa"/>
          </w:tcPr>
          <w:p w14:paraId="462EDB23"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29 160 € et inférieure ou égale à 30 840 €</w:t>
            </w:r>
          </w:p>
        </w:tc>
        <w:tc>
          <w:tcPr>
            <w:tcW w:w="4910" w:type="dxa"/>
          </w:tcPr>
          <w:p w14:paraId="0E99A9A8"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XXX €</w:t>
            </w:r>
          </w:p>
        </w:tc>
      </w:tr>
      <w:tr w:rsidR="00C17124" w:rsidRPr="00C17124" w14:paraId="2087C9F6" w14:textId="77777777" w:rsidTr="007F7C29">
        <w:trPr>
          <w:jc w:val="center"/>
        </w:trPr>
        <w:tc>
          <w:tcPr>
            <w:tcW w:w="5008" w:type="dxa"/>
          </w:tcPr>
          <w:p w14:paraId="15D2864F"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30 840 € et inférieure ou égale à 32 280 €</w:t>
            </w:r>
          </w:p>
        </w:tc>
        <w:tc>
          <w:tcPr>
            <w:tcW w:w="4910" w:type="dxa"/>
          </w:tcPr>
          <w:p w14:paraId="4877370D"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XXX€</w:t>
            </w:r>
          </w:p>
        </w:tc>
      </w:tr>
      <w:tr w:rsidR="00C17124" w:rsidRPr="00C17124" w14:paraId="31F6A7E7" w14:textId="77777777" w:rsidTr="007F7C29">
        <w:trPr>
          <w:jc w:val="center"/>
        </w:trPr>
        <w:tc>
          <w:tcPr>
            <w:tcW w:w="5008" w:type="dxa"/>
          </w:tcPr>
          <w:p w14:paraId="145BACD9"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32 280 € et inférieure ou égale à 33 600 €</w:t>
            </w:r>
          </w:p>
        </w:tc>
        <w:tc>
          <w:tcPr>
            <w:tcW w:w="4910" w:type="dxa"/>
          </w:tcPr>
          <w:p w14:paraId="1C02C971"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XXX€</w:t>
            </w:r>
          </w:p>
        </w:tc>
      </w:tr>
      <w:tr w:rsidR="00C17124" w:rsidRPr="00C17124" w14:paraId="7BA28A3F" w14:textId="77777777" w:rsidTr="007F7C29">
        <w:trPr>
          <w:jc w:val="center"/>
        </w:trPr>
        <w:tc>
          <w:tcPr>
            <w:tcW w:w="5008" w:type="dxa"/>
          </w:tcPr>
          <w:p w14:paraId="5E941711"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Supérieure à 33 600 € et inférieure ou égale à 39 000 €</w:t>
            </w:r>
          </w:p>
        </w:tc>
        <w:tc>
          <w:tcPr>
            <w:tcW w:w="4910" w:type="dxa"/>
          </w:tcPr>
          <w:p w14:paraId="7245D252" w14:textId="77777777" w:rsidR="00C17124" w:rsidRPr="00C17124" w:rsidRDefault="00C17124" w:rsidP="00C17124">
            <w:pPr>
              <w:spacing w:after="0"/>
              <w:jc w:val="center"/>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XXX €</w:t>
            </w:r>
          </w:p>
        </w:tc>
      </w:tr>
    </w:tbl>
    <w:p w14:paraId="259E99D6" w14:textId="77777777" w:rsidR="00C17124" w:rsidRPr="00C17124" w:rsidRDefault="00C17124" w:rsidP="00C17124">
      <w:pPr>
        <w:spacing w:after="0"/>
        <w:jc w:val="both"/>
        <w:rPr>
          <w:rFonts w:ascii="Times New Roman" w:eastAsia="Times New Roman" w:hAnsi="Times New Roman" w:cs="Times New Roman"/>
          <w:sz w:val="24"/>
          <w:szCs w:val="24"/>
        </w:rPr>
      </w:pPr>
    </w:p>
    <w:p w14:paraId="50805F76" w14:textId="77777777" w:rsidR="00C17124" w:rsidRPr="00C17124" w:rsidRDefault="00C17124" w:rsidP="00C17124">
      <w:pPr>
        <w:spacing w:after="0"/>
        <w:jc w:val="both"/>
        <w:rPr>
          <w:rFonts w:ascii="Times New Roman" w:eastAsia="Times New Roman" w:hAnsi="Times New Roman" w:cs="Times New Roman"/>
          <w:b/>
          <w:bCs/>
          <w:sz w:val="24"/>
          <w:szCs w:val="24"/>
        </w:rPr>
      </w:pPr>
      <w:r w:rsidRPr="00C17124">
        <w:rPr>
          <w:rFonts w:ascii="Times New Roman" w:eastAsia="Times New Roman" w:hAnsi="Times New Roman" w:cs="Times New Roman"/>
          <w:b/>
          <w:bCs/>
          <w:sz w:val="24"/>
          <w:szCs w:val="24"/>
          <w:u w:val="single"/>
        </w:rPr>
        <w:t>Article 3</w:t>
      </w:r>
      <w:r w:rsidRPr="00C17124">
        <w:rPr>
          <w:rFonts w:ascii="Times New Roman" w:eastAsia="Times New Roman" w:hAnsi="Times New Roman" w:cs="Times New Roman"/>
          <w:b/>
          <w:bCs/>
          <w:sz w:val="24"/>
          <w:szCs w:val="24"/>
        </w:rPr>
        <w:t> :</w:t>
      </w:r>
    </w:p>
    <w:p w14:paraId="67DB1EF6" w14:textId="77777777" w:rsidR="00C17124" w:rsidRPr="00C17124" w:rsidRDefault="00C17124" w:rsidP="00C17124">
      <w:pPr>
        <w:spacing w:after="0"/>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De prévoir un versement de cette prime de pouvoir d’achat exceptionnelle en une seule fois avant le 30 juin 2024.</w:t>
      </w:r>
    </w:p>
    <w:p w14:paraId="5C3FAF30"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Ou</w:t>
      </w:r>
    </w:p>
    <w:p w14:paraId="1230ACE4"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De prévoir un versement de cette prime de pouvoir d’achat exceptionnelle en plusieurs fois avant le 30 juin 2024 selon le calendrier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09"/>
        <w:gridCol w:w="3022"/>
      </w:tblGrid>
      <w:tr w:rsidR="00C17124" w:rsidRPr="00C17124" w14:paraId="2A9824B2" w14:textId="77777777" w:rsidTr="007F7C29">
        <w:tc>
          <w:tcPr>
            <w:tcW w:w="3259" w:type="dxa"/>
            <w:tcBorders>
              <w:top w:val="single" w:sz="4" w:space="0" w:color="auto"/>
              <w:left w:val="single" w:sz="4" w:space="0" w:color="auto"/>
              <w:bottom w:val="single" w:sz="4" w:space="0" w:color="auto"/>
              <w:right w:val="single" w:sz="4" w:space="0" w:color="auto"/>
            </w:tcBorders>
            <w:shd w:val="clear" w:color="auto" w:fill="3998A5"/>
            <w:hideMark/>
          </w:tcPr>
          <w:p w14:paraId="7065623E" w14:textId="77777777" w:rsidR="00C17124" w:rsidRPr="00C17124" w:rsidRDefault="00C17124" w:rsidP="00C17124">
            <w:pPr>
              <w:spacing w:after="0"/>
              <w:jc w:val="center"/>
              <w:rPr>
                <w:rFonts w:ascii="Times New Roman" w:eastAsia="Times New Roman" w:hAnsi="Times New Roman" w:cs="Times New Roman"/>
                <w:b/>
                <w:bCs/>
                <w:i/>
                <w:iCs/>
                <w:color w:val="FFFFFF" w:themeColor="background1"/>
                <w:sz w:val="24"/>
                <w:szCs w:val="24"/>
              </w:rPr>
            </w:pPr>
            <w:r w:rsidRPr="00C17124">
              <w:rPr>
                <w:rFonts w:ascii="Times New Roman" w:eastAsia="Times New Roman" w:hAnsi="Times New Roman" w:cs="Times New Roman"/>
                <w:b/>
                <w:bCs/>
                <w:i/>
                <w:iCs/>
                <w:color w:val="FFFFFF" w:themeColor="background1"/>
                <w:sz w:val="24"/>
                <w:szCs w:val="24"/>
              </w:rPr>
              <w:t>Versement</w:t>
            </w:r>
          </w:p>
        </w:tc>
        <w:tc>
          <w:tcPr>
            <w:tcW w:w="3260" w:type="dxa"/>
            <w:tcBorders>
              <w:top w:val="single" w:sz="4" w:space="0" w:color="auto"/>
              <w:left w:val="single" w:sz="4" w:space="0" w:color="auto"/>
              <w:bottom w:val="single" w:sz="4" w:space="0" w:color="auto"/>
              <w:right w:val="single" w:sz="4" w:space="0" w:color="auto"/>
            </w:tcBorders>
            <w:shd w:val="clear" w:color="auto" w:fill="3998A5"/>
            <w:hideMark/>
          </w:tcPr>
          <w:p w14:paraId="7C76E64C" w14:textId="77777777" w:rsidR="00C17124" w:rsidRPr="00C17124" w:rsidRDefault="00C17124" w:rsidP="00C17124">
            <w:pPr>
              <w:spacing w:after="0"/>
              <w:jc w:val="center"/>
              <w:rPr>
                <w:rFonts w:ascii="Times New Roman" w:eastAsia="Times New Roman" w:hAnsi="Times New Roman" w:cs="Times New Roman"/>
                <w:b/>
                <w:bCs/>
                <w:i/>
                <w:iCs/>
                <w:color w:val="FFFFFF" w:themeColor="background1"/>
                <w:sz w:val="24"/>
                <w:szCs w:val="24"/>
              </w:rPr>
            </w:pPr>
            <w:r w:rsidRPr="00C17124">
              <w:rPr>
                <w:rFonts w:ascii="Times New Roman" w:eastAsia="Times New Roman" w:hAnsi="Times New Roman" w:cs="Times New Roman"/>
                <w:b/>
                <w:bCs/>
                <w:i/>
                <w:iCs/>
                <w:color w:val="FFFFFF" w:themeColor="background1"/>
                <w:sz w:val="24"/>
                <w:szCs w:val="24"/>
              </w:rPr>
              <w:t>Montant</w:t>
            </w:r>
          </w:p>
        </w:tc>
        <w:tc>
          <w:tcPr>
            <w:tcW w:w="3260" w:type="dxa"/>
            <w:tcBorders>
              <w:top w:val="single" w:sz="4" w:space="0" w:color="auto"/>
              <w:left w:val="single" w:sz="4" w:space="0" w:color="auto"/>
              <w:bottom w:val="single" w:sz="4" w:space="0" w:color="auto"/>
              <w:right w:val="single" w:sz="4" w:space="0" w:color="auto"/>
            </w:tcBorders>
            <w:shd w:val="clear" w:color="auto" w:fill="3998A5"/>
            <w:hideMark/>
          </w:tcPr>
          <w:p w14:paraId="786DE286" w14:textId="77777777" w:rsidR="00C17124" w:rsidRPr="00C17124" w:rsidRDefault="00C17124" w:rsidP="00C17124">
            <w:pPr>
              <w:spacing w:after="0"/>
              <w:jc w:val="center"/>
              <w:rPr>
                <w:rFonts w:ascii="Times New Roman" w:eastAsia="Times New Roman" w:hAnsi="Times New Roman" w:cs="Times New Roman"/>
                <w:b/>
                <w:bCs/>
                <w:i/>
                <w:iCs/>
                <w:color w:val="FFFFFF" w:themeColor="background1"/>
                <w:sz w:val="24"/>
                <w:szCs w:val="24"/>
              </w:rPr>
            </w:pPr>
            <w:r w:rsidRPr="00C17124">
              <w:rPr>
                <w:rFonts w:ascii="Times New Roman" w:eastAsia="Times New Roman" w:hAnsi="Times New Roman" w:cs="Times New Roman"/>
                <w:b/>
                <w:bCs/>
                <w:i/>
                <w:iCs/>
                <w:color w:val="FFFFFF" w:themeColor="background1"/>
                <w:sz w:val="24"/>
                <w:szCs w:val="24"/>
              </w:rPr>
              <w:t>Échéance</w:t>
            </w:r>
          </w:p>
        </w:tc>
      </w:tr>
      <w:tr w:rsidR="00C17124" w:rsidRPr="00C17124" w14:paraId="1C89694D" w14:textId="77777777" w:rsidTr="007F7C29">
        <w:tc>
          <w:tcPr>
            <w:tcW w:w="3259" w:type="dxa"/>
            <w:tcBorders>
              <w:top w:val="single" w:sz="4" w:space="0" w:color="auto"/>
              <w:left w:val="single" w:sz="4" w:space="0" w:color="auto"/>
              <w:bottom w:val="single" w:sz="4" w:space="0" w:color="auto"/>
              <w:right w:val="single" w:sz="4" w:space="0" w:color="auto"/>
            </w:tcBorders>
            <w:hideMark/>
          </w:tcPr>
          <w:p w14:paraId="29C47770"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1</w:t>
            </w:r>
            <w:r w:rsidRPr="00C17124">
              <w:rPr>
                <w:rFonts w:ascii="Times New Roman" w:eastAsia="Times New Roman" w:hAnsi="Times New Roman" w:cs="Times New Roman"/>
                <w:b/>
                <w:bCs/>
                <w:i/>
                <w:iCs/>
                <w:color w:val="FF0000"/>
                <w:sz w:val="24"/>
                <w:szCs w:val="24"/>
                <w:vertAlign w:val="superscript"/>
              </w:rPr>
              <w:t>er</w:t>
            </w:r>
          </w:p>
        </w:tc>
        <w:tc>
          <w:tcPr>
            <w:tcW w:w="3260" w:type="dxa"/>
            <w:tcBorders>
              <w:top w:val="single" w:sz="4" w:space="0" w:color="auto"/>
              <w:left w:val="single" w:sz="4" w:space="0" w:color="auto"/>
              <w:bottom w:val="single" w:sz="4" w:space="0" w:color="auto"/>
              <w:right w:val="single" w:sz="4" w:space="0" w:color="auto"/>
            </w:tcBorders>
          </w:tcPr>
          <w:p w14:paraId="7126D50F"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 €</w:t>
            </w:r>
          </w:p>
        </w:tc>
        <w:tc>
          <w:tcPr>
            <w:tcW w:w="3260" w:type="dxa"/>
            <w:tcBorders>
              <w:top w:val="single" w:sz="4" w:space="0" w:color="auto"/>
              <w:left w:val="single" w:sz="4" w:space="0" w:color="auto"/>
              <w:bottom w:val="single" w:sz="4" w:space="0" w:color="auto"/>
              <w:right w:val="single" w:sz="4" w:space="0" w:color="auto"/>
            </w:tcBorders>
          </w:tcPr>
          <w:p w14:paraId="79C88453"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w:t>
            </w:r>
          </w:p>
        </w:tc>
      </w:tr>
      <w:tr w:rsidR="00C17124" w:rsidRPr="00C17124" w14:paraId="2D83B08C" w14:textId="77777777" w:rsidTr="007F7C29">
        <w:tc>
          <w:tcPr>
            <w:tcW w:w="3259" w:type="dxa"/>
            <w:tcBorders>
              <w:top w:val="single" w:sz="4" w:space="0" w:color="auto"/>
              <w:left w:val="single" w:sz="4" w:space="0" w:color="auto"/>
              <w:bottom w:val="single" w:sz="4" w:space="0" w:color="auto"/>
              <w:right w:val="single" w:sz="4" w:space="0" w:color="auto"/>
            </w:tcBorders>
            <w:hideMark/>
          </w:tcPr>
          <w:p w14:paraId="5E998045"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2</w:t>
            </w:r>
            <w:r w:rsidRPr="00C17124">
              <w:rPr>
                <w:rFonts w:ascii="Times New Roman" w:eastAsia="Times New Roman" w:hAnsi="Times New Roman" w:cs="Times New Roman"/>
                <w:b/>
                <w:bCs/>
                <w:i/>
                <w:iCs/>
                <w:color w:val="FF0000"/>
                <w:sz w:val="24"/>
                <w:szCs w:val="24"/>
                <w:vertAlign w:val="superscript"/>
              </w:rPr>
              <w:t>ème</w:t>
            </w:r>
          </w:p>
        </w:tc>
        <w:tc>
          <w:tcPr>
            <w:tcW w:w="3260" w:type="dxa"/>
            <w:tcBorders>
              <w:top w:val="single" w:sz="4" w:space="0" w:color="auto"/>
              <w:left w:val="single" w:sz="4" w:space="0" w:color="auto"/>
              <w:bottom w:val="single" w:sz="4" w:space="0" w:color="auto"/>
              <w:right w:val="single" w:sz="4" w:space="0" w:color="auto"/>
            </w:tcBorders>
          </w:tcPr>
          <w:p w14:paraId="41DAB3FA"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 €</w:t>
            </w:r>
          </w:p>
        </w:tc>
        <w:tc>
          <w:tcPr>
            <w:tcW w:w="3260" w:type="dxa"/>
            <w:tcBorders>
              <w:top w:val="single" w:sz="4" w:space="0" w:color="auto"/>
              <w:left w:val="single" w:sz="4" w:space="0" w:color="auto"/>
              <w:bottom w:val="single" w:sz="4" w:space="0" w:color="auto"/>
              <w:right w:val="single" w:sz="4" w:space="0" w:color="auto"/>
            </w:tcBorders>
          </w:tcPr>
          <w:p w14:paraId="7E3760A6"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XXX</w:t>
            </w:r>
          </w:p>
        </w:tc>
      </w:tr>
      <w:tr w:rsidR="00C17124" w:rsidRPr="00C17124" w14:paraId="4F5E35A4" w14:textId="77777777" w:rsidTr="007F7C29">
        <w:tc>
          <w:tcPr>
            <w:tcW w:w="3259" w:type="dxa"/>
            <w:tcBorders>
              <w:top w:val="single" w:sz="4" w:space="0" w:color="auto"/>
              <w:left w:val="single" w:sz="4" w:space="0" w:color="auto"/>
              <w:bottom w:val="single" w:sz="4" w:space="0" w:color="auto"/>
              <w:right w:val="single" w:sz="4" w:space="0" w:color="auto"/>
            </w:tcBorders>
          </w:tcPr>
          <w:p w14:paraId="3018C899"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1D451F9"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959A6BC" w14:textId="77777777" w:rsidR="00C17124" w:rsidRPr="00C17124" w:rsidRDefault="00C17124" w:rsidP="00C17124">
            <w:pPr>
              <w:spacing w:after="0"/>
              <w:jc w:val="center"/>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w:t>
            </w:r>
          </w:p>
        </w:tc>
      </w:tr>
    </w:tbl>
    <w:p w14:paraId="6C3CA905" w14:textId="77777777" w:rsidR="00C17124" w:rsidRPr="00C17124" w:rsidRDefault="00C17124" w:rsidP="00C17124">
      <w:pPr>
        <w:spacing w:after="0"/>
        <w:jc w:val="both"/>
        <w:rPr>
          <w:rFonts w:ascii="Times New Roman" w:eastAsia="Times New Roman" w:hAnsi="Times New Roman" w:cs="Times New Roman"/>
          <w:b/>
          <w:bCs/>
          <w:i/>
          <w:iCs/>
          <w:color w:val="FF0000"/>
          <w:sz w:val="24"/>
          <w:szCs w:val="24"/>
        </w:rPr>
      </w:pPr>
    </w:p>
    <w:p w14:paraId="6E2D19DA" w14:textId="41AB1030"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rPr>
      </w:pPr>
      <w:r w:rsidRPr="00C17124">
        <w:rPr>
          <w:rFonts w:ascii="Times New Roman" w:eastAsia="Times New Roman" w:hAnsi="Times New Roman" w:cs="Times New Roman"/>
          <w:b/>
          <w:bCs/>
          <w:snapToGrid w:val="0"/>
          <w:sz w:val="24"/>
          <w:szCs w:val="24"/>
          <w:u w:val="single"/>
        </w:rPr>
        <w:t xml:space="preserve">Article </w:t>
      </w:r>
      <w:r w:rsidR="00D9310A">
        <w:rPr>
          <w:rFonts w:ascii="Times New Roman" w:eastAsia="Times New Roman" w:hAnsi="Times New Roman" w:cs="Times New Roman"/>
          <w:b/>
          <w:bCs/>
          <w:snapToGrid w:val="0"/>
          <w:sz w:val="24"/>
          <w:szCs w:val="24"/>
          <w:u w:val="single"/>
        </w:rPr>
        <w:t>4</w:t>
      </w:r>
      <w:r w:rsidRPr="00C17124">
        <w:rPr>
          <w:rFonts w:ascii="Times New Roman" w:eastAsia="Times New Roman" w:hAnsi="Times New Roman" w:cs="Times New Roman"/>
          <w:b/>
          <w:bCs/>
          <w:snapToGrid w:val="0"/>
          <w:sz w:val="24"/>
          <w:szCs w:val="24"/>
        </w:rPr>
        <w:t> :</w:t>
      </w:r>
    </w:p>
    <w:p w14:paraId="5345B5E8" w14:textId="77777777"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17124">
        <w:rPr>
          <w:rFonts w:ascii="Times New Roman" w:eastAsia="Times New Roman" w:hAnsi="Times New Roman" w:cs="Times New Roman"/>
          <w:snapToGrid w:val="0"/>
          <w:sz w:val="24"/>
          <w:szCs w:val="24"/>
        </w:rPr>
        <w:t>D’inscrire au budget les crédits correspondants.</w:t>
      </w:r>
    </w:p>
    <w:p w14:paraId="34606CE8" w14:textId="77777777" w:rsidR="00C17124" w:rsidRPr="00C17124" w:rsidRDefault="00C17124" w:rsidP="00C1712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rPr>
      </w:pPr>
    </w:p>
    <w:p w14:paraId="723EE223" w14:textId="362C5870"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rPr>
      </w:pPr>
      <w:r w:rsidRPr="00C17124">
        <w:rPr>
          <w:rFonts w:ascii="Times New Roman" w:eastAsia="Times New Roman" w:hAnsi="Times New Roman" w:cs="Times New Roman"/>
          <w:b/>
          <w:bCs/>
          <w:snapToGrid w:val="0"/>
          <w:sz w:val="24"/>
          <w:szCs w:val="24"/>
          <w:u w:val="single"/>
        </w:rPr>
        <w:t xml:space="preserve">Article </w:t>
      </w:r>
      <w:r w:rsidR="00D9310A">
        <w:rPr>
          <w:rFonts w:ascii="Times New Roman" w:eastAsia="Times New Roman" w:hAnsi="Times New Roman" w:cs="Times New Roman"/>
          <w:b/>
          <w:bCs/>
          <w:snapToGrid w:val="0"/>
          <w:sz w:val="24"/>
          <w:szCs w:val="24"/>
          <w:u w:val="single"/>
        </w:rPr>
        <w:t>5</w:t>
      </w:r>
      <w:r w:rsidRPr="00C17124">
        <w:rPr>
          <w:rFonts w:ascii="Times New Roman" w:eastAsia="Times New Roman" w:hAnsi="Times New Roman" w:cs="Times New Roman"/>
          <w:b/>
          <w:bCs/>
          <w:snapToGrid w:val="0"/>
          <w:sz w:val="24"/>
          <w:szCs w:val="24"/>
        </w:rPr>
        <w:t> :</w:t>
      </w:r>
    </w:p>
    <w:p w14:paraId="71763B18" w14:textId="77777777"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17124">
        <w:rPr>
          <w:rFonts w:ascii="Times New Roman" w:eastAsia="Times New Roman" w:hAnsi="Times New Roman" w:cs="Times New Roman"/>
          <w:snapToGrid w:val="0"/>
          <w:sz w:val="24"/>
          <w:szCs w:val="24"/>
        </w:rPr>
        <w:t>Les dispositions de la présente délibération prendront effet après transmission aux services de l’État et publication et ou notification.</w:t>
      </w:r>
    </w:p>
    <w:p w14:paraId="5FC5F497" w14:textId="77777777"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p>
    <w:p w14:paraId="48451BD9" w14:textId="77777777"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p>
    <w:p w14:paraId="1E4A2941" w14:textId="48B71ED8"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rPr>
      </w:pPr>
      <w:r w:rsidRPr="00C17124">
        <w:rPr>
          <w:rFonts w:ascii="Times New Roman" w:eastAsia="Times New Roman" w:hAnsi="Times New Roman" w:cs="Times New Roman"/>
          <w:b/>
          <w:bCs/>
          <w:snapToGrid w:val="0"/>
          <w:sz w:val="24"/>
          <w:szCs w:val="24"/>
          <w:u w:val="single"/>
        </w:rPr>
        <w:t xml:space="preserve">Article </w:t>
      </w:r>
      <w:r w:rsidR="00D9310A">
        <w:rPr>
          <w:rFonts w:ascii="Times New Roman" w:eastAsia="Times New Roman" w:hAnsi="Times New Roman" w:cs="Times New Roman"/>
          <w:b/>
          <w:bCs/>
          <w:snapToGrid w:val="0"/>
          <w:sz w:val="24"/>
          <w:szCs w:val="24"/>
          <w:u w:val="single"/>
        </w:rPr>
        <w:t>6</w:t>
      </w:r>
      <w:r w:rsidRPr="00C17124">
        <w:rPr>
          <w:rFonts w:ascii="Times New Roman" w:eastAsia="Times New Roman" w:hAnsi="Times New Roman" w:cs="Times New Roman"/>
          <w:b/>
          <w:bCs/>
          <w:snapToGrid w:val="0"/>
          <w:sz w:val="24"/>
          <w:szCs w:val="24"/>
        </w:rPr>
        <w:t> :</w:t>
      </w:r>
    </w:p>
    <w:p w14:paraId="1E1D58CA" w14:textId="77777777"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17124">
        <w:rPr>
          <w:rFonts w:ascii="Times New Roman" w:eastAsia="Times New Roman" w:hAnsi="Times New Roman" w:cs="Times New Roman"/>
          <w:snapToGrid w:val="0"/>
          <w:sz w:val="24"/>
          <w:szCs w:val="24"/>
        </w:rPr>
        <w:t>Le Maire (</w:t>
      </w:r>
      <w:r w:rsidRPr="00C17124">
        <w:rPr>
          <w:rFonts w:ascii="Times New Roman" w:eastAsia="Times New Roman" w:hAnsi="Times New Roman" w:cs="Times New Roman"/>
          <w:i/>
          <w:snapToGrid w:val="0"/>
          <w:sz w:val="24"/>
          <w:szCs w:val="24"/>
        </w:rPr>
        <w:t>ou le Président</w:t>
      </w:r>
      <w:r w:rsidRPr="00C17124">
        <w:rPr>
          <w:rFonts w:ascii="Times New Roman" w:eastAsia="Times New Roman" w:hAnsi="Times New Roman" w:cs="Times New Roman"/>
          <w:snapToGrid w:val="0"/>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l’État et de sa publication.</w:t>
      </w:r>
    </w:p>
    <w:p w14:paraId="66E3FD5F" w14:textId="77777777"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17124">
        <w:rPr>
          <w:rFonts w:ascii="Times New Roman" w:eastAsia="Times New Roman" w:hAnsi="Times New Roman" w:cs="Times New Roman"/>
          <w:snapToGrid w:val="0"/>
          <w:sz w:val="24"/>
          <w:szCs w:val="24"/>
        </w:rPr>
        <w:t xml:space="preserve">Le Tribunal Administratif peut être saisi au moyen de l’application informatique télérecours </w:t>
      </w:r>
      <w:r w:rsidRPr="00C17124">
        <w:rPr>
          <w:rFonts w:ascii="Times New Roman" w:eastAsia="Times New Roman" w:hAnsi="Times New Roman" w:cs="Times New Roman"/>
          <w:snapToGrid w:val="0"/>
          <w:sz w:val="24"/>
          <w:szCs w:val="24"/>
        </w:rPr>
        <w:lastRenderedPageBreak/>
        <w:t xml:space="preserve">citoyen accessible par le biais du site </w:t>
      </w:r>
      <w:hyperlink r:id="rId7" w:history="1">
        <w:r w:rsidRPr="00C17124">
          <w:rPr>
            <w:rFonts w:ascii="Times New Roman" w:eastAsia="Times New Roman" w:hAnsi="Times New Roman" w:cs="Times New Roman"/>
            <w:snapToGrid w:val="0"/>
            <w:color w:val="0563C1"/>
            <w:sz w:val="24"/>
            <w:szCs w:val="24"/>
            <w:u w:val="single"/>
          </w:rPr>
          <w:t>www.telerecours.fr</w:t>
        </w:r>
      </w:hyperlink>
      <w:r w:rsidRPr="00C17124">
        <w:rPr>
          <w:rFonts w:ascii="Times New Roman" w:eastAsia="Times New Roman" w:hAnsi="Times New Roman" w:cs="Times New Roman"/>
          <w:snapToGrid w:val="0"/>
          <w:sz w:val="24"/>
          <w:szCs w:val="24"/>
        </w:rPr>
        <w:t>.</w:t>
      </w:r>
    </w:p>
    <w:p w14:paraId="537C03FF" w14:textId="77777777" w:rsidR="00C17124" w:rsidRPr="00C17124" w:rsidRDefault="00C17124" w:rsidP="00C171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p>
    <w:p w14:paraId="57B22959" w14:textId="77777777" w:rsidR="00C17124" w:rsidRPr="00C17124" w:rsidRDefault="00C17124" w:rsidP="00C17124">
      <w:pPr>
        <w:autoSpaceDE w:val="0"/>
        <w:autoSpaceDN w:val="0"/>
        <w:spacing w:after="0" w:line="240" w:lineRule="auto"/>
        <w:jc w:val="both"/>
        <w:rPr>
          <w:rFonts w:ascii="Times New Roman" w:eastAsia="Times New Roman" w:hAnsi="Times New Roman" w:cs="Times New Roman"/>
          <w:sz w:val="24"/>
          <w:szCs w:val="24"/>
        </w:rPr>
      </w:pPr>
    </w:p>
    <w:p w14:paraId="68E921C2" w14:textId="77777777" w:rsidR="00C17124" w:rsidRPr="00C17124" w:rsidRDefault="00C17124" w:rsidP="00C17124">
      <w:pPr>
        <w:autoSpaceDE w:val="0"/>
        <w:autoSpaceDN w:val="0"/>
        <w:spacing w:after="0" w:line="240" w:lineRule="auto"/>
        <w:ind w:left="1418" w:hanging="1418"/>
        <w:jc w:val="both"/>
        <w:rPr>
          <w:rFonts w:ascii="Times New Roman" w:eastAsia="Times New Roman" w:hAnsi="Times New Roman" w:cs="Times New Roman"/>
          <w:sz w:val="24"/>
          <w:szCs w:val="24"/>
        </w:rPr>
      </w:pPr>
      <w:r w:rsidRPr="00C17124">
        <w:rPr>
          <w:rFonts w:ascii="Times New Roman" w:eastAsia="Times New Roman" w:hAnsi="Times New Roman" w:cs="Times New Roman"/>
          <w:b/>
          <w:bCs/>
          <w:sz w:val="24"/>
          <w:szCs w:val="24"/>
        </w:rPr>
        <w:t xml:space="preserve">ADOPTÉ </w:t>
      </w:r>
      <w:r w:rsidRPr="00C17124">
        <w:rPr>
          <w:rFonts w:ascii="Times New Roman" w:eastAsia="Times New Roman" w:hAnsi="Times New Roman" w:cs="Times New Roman"/>
          <w:sz w:val="24"/>
          <w:szCs w:val="24"/>
        </w:rPr>
        <w:t xml:space="preserve">: </w:t>
      </w:r>
      <w:r w:rsidRPr="00C17124">
        <w:rPr>
          <w:rFonts w:ascii="Times New Roman" w:eastAsia="Times New Roman" w:hAnsi="Times New Roman" w:cs="Times New Roman"/>
          <w:sz w:val="24"/>
          <w:szCs w:val="24"/>
        </w:rPr>
        <w:tab/>
        <w:t>à l’unanimité des membres présents</w:t>
      </w:r>
    </w:p>
    <w:p w14:paraId="52C0F4EE" w14:textId="77777777" w:rsidR="00C17124" w:rsidRPr="00C17124" w:rsidRDefault="00C17124" w:rsidP="00C17124">
      <w:pPr>
        <w:autoSpaceDE w:val="0"/>
        <w:autoSpaceDN w:val="0"/>
        <w:spacing w:after="0" w:line="240" w:lineRule="auto"/>
        <w:ind w:left="992" w:firstLine="424"/>
        <w:jc w:val="both"/>
        <w:rPr>
          <w:rFonts w:ascii="Times New Roman" w:eastAsia="Times New Roman" w:hAnsi="Times New Roman" w:cs="Times New Roman"/>
          <w:b/>
          <w:bCs/>
          <w:i/>
          <w:iCs/>
          <w:color w:val="FF0000"/>
          <w:sz w:val="24"/>
          <w:szCs w:val="24"/>
        </w:rPr>
      </w:pPr>
      <w:r w:rsidRPr="00C17124">
        <w:rPr>
          <w:rFonts w:ascii="Times New Roman" w:eastAsia="Times New Roman" w:hAnsi="Times New Roman" w:cs="Times New Roman"/>
          <w:b/>
          <w:bCs/>
          <w:i/>
          <w:iCs/>
          <w:color w:val="FF0000"/>
          <w:sz w:val="24"/>
          <w:szCs w:val="24"/>
        </w:rPr>
        <w:t>ou</w:t>
      </w:r>
    </w:p>
    <w:p w14:paraId="4F81260D" w14:textId="77777777" w:rsidR="00C17124" w:rsidRPr="00C17124" w:rsidRDefault="00C17124" w:rsidP="00C17124">
      <w:pPr>
        <w:autoSpaceDE w:val="0"/>
        <w:autoSpaceDN w:val="0"/>
        <w:spacing w:after="0" w:line="240" w:lineRule="auto"/>
        <w:ind w:left="992" w:firstLine="425"/>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à ... voix pour</w:t>
      </w:r>
    </w:p>
    <w:p w14:paraId="289DA787" w14:textId="77777777" w:rsidR="00C17124" w:rsidRPr="00C17124" w:rsidRDefault="00C17124" w:rsidP="00C17124">
      <w:pPr>
        <w:autoSpaceDE w:val="0"/>
        <w:autoSpaceDN w:val="0"/>
        <w:spacing w:after="0" w:line="240" w:lineRule="auto"/>
        <w:ind w:left="992" w:firstLine="425"/>
        <w:jc w:val="both"/>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à ... voix contre</w:t>
      </w:r>
    </w:p>
    <w:p w14:paraId="4330A19C" w14:textId="77777777" w:rsidR="00C17124" w:rsidRPr="00C17124" w:rsidRDefault="00C17124" w:rsidP="00C17124">
      <w:pPr>
        <w:autoSpaceDE w:val="0"/>
        <w:autoSpaceDN w:val="0"/>
        <w:spacing w:after="0" w:line="240" w:lineRule="auto"/>
        <w:ind w:left="992" w:firstLine="425"/>
        <w:jc w:val="both"/>
        <w:rPr>
          <w:rFonts w:ascii="Times New Roman" w:eastAsia="Times New Roman" w:hAnsi="Times New Roman" w:cs="Times New Roman"/>
          <w:i/>
          <w:iCs/>
          <w:sz w:val="24"/>
          <w:szCs w:val="24"/>
        </w:rPr>
      </w:pPr>
      <w:r w:rsidRPr="00C17124">
        <w:rPr>
          <w:rFonts w:ascii="Times New Roman" w:eastAsia="Times New Roman" w:hAnsi="Times New Roman" w:cs="Times New Roman"/>
          <w:sz w:val="24"/>
          <w:szCs w:val="24"/>
        </w:rPr>
        <w:t>à ... abstention</w:t>
      </w:r>
      <w:r w:rsidRPr="00C17124">
        <w:rPr>
          <w:rFonts w:ascii="Times New Roman" w:eastAsia="Times New Roman" w:hAnsi="Times New Roman" w:cs="Times New Roman"/>
          <w:i/>
          <w:iCs/>
          <w:sz w:val="24"/>
          <w:szCs w:val="24"/>
        </w:rPr>
        <w:t>(s)</w:t>
      </w:r>
    </w:p>
    <w:p w14:paraId="3BB4C706" w14:textId="77777777" w:rsidR="00C17124" w:rsidRPr="00C17124" w:rsidRDefault="00C17124" w:rsidP="00C17124">
      <w:pPr>
        <w:autoSpaceDE w:val="0"/>
        <w:autoSpaceDN w:val="0"/>
        <w:spacing w:after="0" w:line="240" w:lineRule="auto"/>
        <w:jc w:val="both"/>
        <w:rPr>
          <w:rFonts w:ascii="Times New Roman" w:eastAsia="Times New Roman" w:hAnsi="Times New Roman" w:cs="Times New Roman"/>
          <w:iCs/>
          <w:sz w:val="24"/>
          <w:szCs w:val="24"/>
        </w:rPr>
      </w:pPr>
    </w:p>
    <w:p w14:paraId="2143F37E" w14:textId="77777777" w:rsidR="00C17124" w:rsidRPr="00C17124" w:rsidRDefault="00C17124" w:rsidP="00C17124">
      <w:pPr>
        <w:autoSpaceDE w:val="0"/>
        <w:autoSpaceDN w:val="0"/>
        <w:spacing w:after="0" w:line="240" w:lineRule="auto"/>
        <w:ind w:left="992" w:firstLine="425"/>
        <w:jc w:val="both"/>
        <w:rPr>
          <w:rFonts w:ascii="Times New Roman" w:eastAsia="Times New Roman" w:hAnsi="Times New Roman" w:cs="Times New Roman"/>
          <w:i/>
          <w:iCs/>
          <w:sz w:val="24"/>
          <w:szCs w:val="24"/>
        </w:rPr>
      </w:pPr>
    </w:p>
    <w:p w14:paraId="46E0F919" w14:textId="77777777" w:rsidR="00C17124" w:rsidRPr="00C17124" w:rsidRDefault="00C17124" w:rsidP="00C17124">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ab/>
        <w:t xml:space="preserve">Fait à. ..., </w:t>
      </w:r>
    </w:p>
    <w:p w14:paraId="3FC10322" w14:textId="77777777" w:rsidR="00C17124" w:rsidRPr="00C17124" w:rsidRDefault="00C17124" w:rsidP="00C17124">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rPr>
      </w:pPr>
      <w:r w:rsidRPr="00C17124">
        <w:rPr>
          <w:rFonts w:ascii="Times New Roman" w:eastAsia="Times New Roman" w:hAnsi="Times New Roman" w:cs="Times New Roman"/>
          <w:sz w:val="24"/>
          <w:szCs w:val="24"/>
        </w:rPr>
        <w:tab/>
        <w:t>le …,</w:t>
      </w:r>
    </w:p>
    <w:p w14:paraId="6AA1FB07" w14:textId="77777777" w:rsidR="00C17124" w:rsidRPr="00C17124" w:rsidRDefault="00C17124" w:rsidP="00C17124">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rPr>
      </w:pPr>
      <w:r w:rsidRPr="00C17124">
        <w:rPr>
          <w:rFonts w:ascii="Times New Roman" w:eastAsia="Times New Roman" w:hAnsi="Times New Roman" w:cs="Times New Roman"/>
          <w:sz w:val="24"/>
          <w:szCs w:val="24"/>
        </w:rPr>
        <w:tab/>
      </w:r>
      <w:r w:rsidRPr="00C17124">
        <w:rPr>
          <w:rFonts w:ascii="Times New Roman" w:eastAsia="Times New Roman" w:hAnsi="Times New Roman" w:cs="Times New Roman"/>
          <w:sz w:val="24"/>
          <w:szCs w:val="24"/>
          <w:u w:val="single"/>
        </w:rPr>
        <w:t>Prénom, nom et qualité du signataire</w:t>
      </w:r>
    </w:p>
    <w:p w14:paraId="632826EA" w14:textId="77777777" w:rsidR="00C17124" w:rsidRPr="00C17124" w:rsidRDefault="00C17124" w:rsidP="00C17124">
      <w:pPr>
        <w:tabs>
          <w:tab w:val="right" w:pos="6663"/>
          <w:tab w:val="right" w:pos="9923"/>
        </w:tabs>
        <w:autoSpaceDE w:val="0"/>
        <w:autoSpaceDN w:val="0"/>
        <w:spacing w:after="0" w:line="240" w:lineRule="auto"/>
        <w:rPr>
          <w:rFonts w:ascii="Times New Roman" w:eastAsia="Times New Roman" w:hAnsi="Times New Roman" w:cs="Times New Roman"/>
          <w:i/>
          <w:iCs/>
          <w:sz w:val="24"/>
          <w:szCs w:val="24"/>
        </w:rPr>
      </w:pPr>
    </w:p>
    <w:p w14:paraId="1669C404" w14:textId="77777777" w:rsidR="00C17124" w:rsidRPr="00C17124" w:rsidRDefault="00C17124" w:rsidP="00C17124">
      <w:pPr>
        <w:tabs>
          <w:tab w:val="right" w:pos="6663"/>
          <w:tab w:val="right" w:pos="9923"/>
        </w:tabs>
        <w:autoSpaceDE w:val="0"/>
        <w:autoSpaceDN w:val="0"/>
        <w:spacing w:after="0" w:line="240" w:lineRule="auto"/>
        <w:rPr>
          <w:rFonts w:ascii="Times New Roman" w:eastAsia="Times New Roman" w:hAnsi="Times New Roman" w:cs="Times New Roman"/>
          <w:i/>
          <w:iCs/>
          <w:sz w:val="24"/>
          <w:szCs w:val="24"/>
        </w:rPr>
      </w:pPr>
    </w:p>
    <w:p w14:paraId="72917B3B" w14:textId="77777777" w:rsidR="00C17124" w:rsidRPr="00C17124" w:rsidRDefault="00C17124" w:rsidP="00C17124">
      <w:pPr>
        <w:tabs>
          <w:tab w:val="right" w:pos="6663"/>
          <w:tab w:val="right" w:pos="9923"/>
        </w:tabs>
        <w:autoSpaceDE w:val="0"/>
        <w:autoSpaceDN w:val="0"/>
        <w:spacing w:after="0" w:line="240" w:lineRule="auto"/>
        <w:rPr>
          <w:rFonts w:ascii="Times New Roman" w:eastAsia="Times New Roman" w:hAnsi="Times New Roman" w:cs="Times New Roman"/>
          <w:sz w:val="24"/>
          <w:szCs w:val="24"/>
        </w:rPr>
      </w:pPr>
    </w:p>
    <w:p w14:paraId="523185F6" w14:textId="77777777" w:rsidR="00C17124" w:rsidRPr="00C17124" w:rsidRDefault="00C17124" w:rsidP="00C17124">
      <w:pPr>
        <w:widowControl w:val="0"/>
        <w:numPr>
          <w:ilvl w:val="0"/>
          <w:numId w:val="1"/>
        </w:numPr>
        <w:autoSpaceDE w:val="0"/>
        <w:autoSpaceDN w:val="0"/>
        <w:spacing w:after="0" w:line="240" w:lineRule="auto"/>
        <w:jc w:val="both"/>
        <w:rPr>
          <w:rFonts w:ascii="Times New Roman" w:eastAsia="Times New Roman" w:hAnsi="Times New Roman" w:cs="Times New Roman"/>
          <w:b/>
          <w:bCs/>
          <w:sz w:val="24"/>
          <w:szCs w:val="24"/>
        </w:rPr>
      </w:pPr>
      <w:r w:rsidRPr="00C17124">
        <w:rPr>
          <w:rFonts w:ascii="Times New Roman" w:eastAsia="Times New Roman" w:hAnsi="Times New Roman" w:cs="Times New Roman"/>
          <w:b/>
          <w:bCs/>
          <w:sz w:val="24"/>
          <w:szCs w:val="24"/>
        </w:rPr>
        <w:t>Transmis au représentant de l’État le : …</w:t>
      </w:r>
    </w:p>
    <w:p w14:paraId="50ED0E33" w14:textId="77777777" w:rsidR="00C17124" w:rsidRPr="00C17124" w:rsidRDefault="00C17124" w:rsidP="00C17124">
      <w:pPr>
        <w:widowControl w:val="0"/>
        <w:numPr>
          <w:ilvl w:val="0"/>
          <w:numId w:val="1"/>
        </w:numPr>
        <w:autoSpaceDE w:val="0"/>
        <w:autoSpaceDN w:val="0"/>
        <w:spacing w:after="0" w:line="240" w:lineRule="auto"/>
        <w:jc w:val="both"/>
        <w:rPr>
          <w:rFonts w:ascii="Times New Roman" w:eastAsia="Times New Roman" w:hAnsi="Times New Roman" w:cs="Times New Roman"/>
          <w:b/>
          <w:bCs/>
          <w:sz w:val="24"/>
          <w:szCs w:val="24"/>
        </w:rPr>
      </w:pPr>
      <w:r w:rsidRPr="00C17124">
        <w:rPr>
          <w:rFonts w:ascii="Times New Roman" w:eastAsia="Times New Roman" w:hAnsi="Times New Roman" w:cs="Times New Roman"/>
          <w:b/>
          <w:bCs/>
          <w:sz w:val="24"/>
          <w:szCs w:val="24"/>
        </w:rPr>
        <w:t>Publié le : …</w:t>
      </w:r>
    </w:p>
    <w:p w14:paraId="0C2361A1" w14:textId="5726B72D" w:rsidR="001C4CF0" w:rsidRPr="00C17124" w:rsidRDefault="001C4CF0" w:rsidP="00C17124"/>
    <w:sectPr w:rsidR="001C4CF0" w:rsidRPr="00C17124" w:rsidSect="001C64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2F65" w14:textId="77777777" w:rsidR="00C00292" w:rsidRDefault="00C00292" w:rsidP="00C00292">
      <w:pPr>
        <w:spacing w:after="0" w:line="240" w:lineRule="auto"/>
      </w:pPr>
      <w:r>
        <w:separator/>
      </w:r>
    </w:p>
  </w:endnote>
  <w:endnote w:type="continuationSeparator" w:id="0">
    <w:p w14:paraId="76A0E179" w14:textId="77777777" w:rsidR="00C00292" w:rsidRDefault="00C00292" w:rsidP="00C0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3017"/>
      <w:docPartObj>
        <w:docPartGallery w:val="Page Numbers (Bottom of Page)"/>
        <w:docPartUnique/>
      </w:docPartObj>
    </w:sdtPr>
    <w:sdtEndPr>
      <w:rPr>
        <w:rFonts w:ascii="Arial" w:hAnsi="Arial" w:cs="Arial"/>
      </w:rPr>
    </w:sdtEndPr>
    <w:sdtContent>
      <w:p w14:paraId="5EBB10E1" w14:textId="77777777" w:rsidR="00C00292" w:rsidRDefault="00C00292" w:rsidP="00C00292">
        <w:pPr>
          <w:pStyle w:val="Pieddepage"/>
          <w:jc w:val="right"/>
        </w:pPr>
        <w:r w:rsidRPr="00CD7717">
          <w:rPr>
            <w:rFonts w:ascii="Arial" w:hAnsi="Arial" w:cs="Arial"/>
          </w:rPr>
          <w:fldChar w:fldCharType="begin"/>
        </w:r>
        <w:r w:rsidRPr="00CD7717">
          <w:rPr>
            <w:rFonts w:ascii="Arial" w:hAnsi="Arial" w:cs="Arial"/>
          </w:rPr>
          <w:instrText xml:space="preserve"> PAGE   \* MERGEFORMAT </w:instrText>
        </w:r>
        <w:r w:rsidRPr="00CD7717">
          <w:rPr>
            <w:rFonts w:ascii="Arial" w:hAnsi="Arial" w:cs="Arial"/>
          </w:rPr>
          <w:fldChar w:fldCharType="separate"/>
        </w:r>
        <w:r>
          <w:rPr>
            <w:rFonts w:ascii="Arial" w:hAnsi="Arial" w:cs="Arial"/>
            <w:noProof/>
          </w:rPr>
          <w:t>15</w:t>
        </w:r>
        <w:r w:rsidRPr="00CD7717">
          <w:rPr>
            <w:rFonts w:ascii="Arial" w:hAnsi="Arial" w:cs="Arial"/>
          </w:rPr>
          <w:fldChar w:fldCharType="end"/>
        </w:r>
      </w:p>
    </w:sdtContent>
  </w:sdt>
  <w:p w14:paraId="498371C3" w14:textId="349FDF99" w:rsidR="00C00292" w:rsidRPr="00C00292" w:rsidRDefault="00C00292" w:rsidP="00C00292">
    <w:pPr>
      <w:pStyle w:val="Pieddepage"/>
      <w:jc w:val="center"/>
      <w:rPr>
        <w:b/>
        <w:bCs/>
      </w:rPr>
    </w:pPr>
    <w:r w:rsidRPr="00C00292">
      <w:rPr>
        <w:b/>
        <w:bCs/>
      </w:rPr>
      <w:t>Centre de gestion de l’Oise – Pôle juridique et carrières – Novembre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FB2C" w14:textId="77777777" w:rsidR="00C00292" w:rsidRDefault="00C00292" w:rsidP="00C00292">
      <w:pPr>
        <w:spacing w:after="0" w:line="240" w:lineRule="auto"/>
      </w:pPr>
      <w:r>
        <w:separator/>
      </w:r>
    </w:p>
  </w:footnote>
  <w:footnote w:type="continuationSeparator" w:id="0">
    <w:p w14:paraId="536C3FB8" w14:textId="77777777" w:rsidR="00C00292" w:rsidRDefault="00C00292" w:rsidP="00C00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2858"/>
    <w:multiLevelType w:val="multilevel"/>
    <w:tmpl w:val="2FFE7168"/>
    <w:lvl w:ilvl="0">
      <w:start w:val="1"/>
      <w:numFmt w:val="bullet"/>
      <w:lvlText w:val="-"/>
      <w:lvlJc w:val="left"/>
      <w:pPr>
        <w:tabs>
          <w:tab w:val="num" w:pos="720"/>
        </w:tabs>
        <w:ind w:left="720" w:hanging="360"/>
      </w:pPr>
      <w:rPr>
        <w:rFonts w:ascii="Avenir Next LT Pro" w:hAnsi="Avenir Next LT Pro"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5899739">
    <w:abstractNumId w:val="1"/>
  </w:num>
  <w:num w:numId="2" w16cid:durableId="201807456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F0"/>
    <w:rsid w:val="001C4CF0"/>
    <w:rsid w:val="002A0861"/>
    <w:rsid w:val="0038534E"/>
    <w:rsid w:val="005110FC"/>
    <w:rsid w:val="00684F47"/>
    <w:rsid w:val="00A70756"/>
    <w:rsid w:val="00C00292"/>
    <w:rsid w:val="00C17124"/>
    <w:rsid w:val="00C33B85"/>
    <w:rsid w:val="00D9310A"/>
    <w:rsid w:val="00E36697"/>
    <w:rsid w:val="00F57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72A6"/>
  <w15:chartTrackingRefBased/>
  <w15:docId w15:val="{BEBBB48B-1A83-4910-AC0B-77C68EA2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F0"/>
    <w:pPr>
      <w:spacing w:after="200" w:line="276" w:lineRule="auto"/>
    </w:pPr>
    <w:rPr>
      <w:rFonts w:eastAsiaTheme="minorEastAsia"/>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4CF0"/>
    <w:pPr>
      <w:autoSpaceDE w:val="0"/>
      <w:autoSpaceDN w:val="0"/>
      <w:adjustRightInd w:val="0"/>
      <w:spacing w:after="0" w:line="240" w:lineRule="auto"/>
    </w:pPr>
    <w:rPr>
      <w:rFonts w:ascii="Tahoma" w:eastAsiaTheme="minorEastAsia" w:hAnsi="Tahoma" w:cs="Tahoma"/>
      <w:color w:val="000000"/>
      <w:kern w:val="0"/>
      <w:sz w:val="24"/>
      <w:szCs w:val="24"/>
      <w:lang w:eastAsia="fr-FR"/>
      <w14:ligatures w14:val="none"/>
    </w:rPr>
  </w:style>
  <w:style w:type="character" w:styleId="lev">
    <w:name w:val="Strong"/>
    <w:basedOn w:val="Policepardfaut"/>
    <w:uiPriority w:val="22"/>
    <w:qFormat/>
    <w:rsid w:val="001C4CF0"/>
    <w:rPr>
      <w:b/>
      <w:bCs/>
    </w:rPr>
  </w:style>
  <w:style w:type="character" w:styleId="Lienhypertexte">
    <w:name w:val="Hyperlink"/>
    <w:basedOn w:val="Policepardfaut"/>
    <w:uiPriority w:val="99"/>
    <w:unhideWhenUsed/>
    <w:rsid w:val="001C4CF0"/>
    <w:rPr>
      <w:color w:val="0563C1" w:themeColor="hyperlink"/>
      <w:u w:val="single"/>
    </w:rPr>
  </w:style>
  <w:style w:type="paragraph" w:styleId="Pieddepage">
    <w:name w:val="footer"/>
    <w:basedOn w:val="Normal"/>
    <w:link w:val="PieddepageCar"/>
    <w:uiPriority w:val="99"/>
    <w:unhideWhenUsed/>
    <w:rsid w:val="001C4C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CF0"/>
    <w:rPr>
      <w:rFonts w:eastAsiaTheme="minorEastAsia"/>
      <w:kern w:val="0"/>
      <w:lang w:eastAsia="fr-FR"/>
      <w14:ligatures w14:val="none"/>
    </w:rPr>
  </w:style>
  <w:style w:type="paragraph" w:styleId="Paragraphedeliste">
    <w:name w:val="List Paragraph"/>
    <w:basedOn w:val="Normal"/>
    <w:uiPriority w:val="34"/>
    <w:qFormat/>
    <w:rsid w:val="001C4CF0"/>
    <w:pPr>
      <w:ind w:left="720"/>
      <w:contextualSpacing/>
    </w:pPr>
  </w:style>
  <w:style w:type="paragraph" w:styleId="En-tte">
    <w:name w:val="header"/>
    <w:basedOn w:val="Normal"/>
    <w:link w:val="En-tteCar"/>
    <w:uiPriority w:val="99"/>
    <w:unhideWhenUsed/>
    <w:rsid w:val="001C4CF0"/>
    <w:pPr>
      <w:tabs>
        <w:tab w:val="center" w:pos="4536"/>
        <w:tab w:val="right" w:pos="9072"/>
      </w:tabs>
      <w:spacing w:after="0" w:line="240" w:lineRule="auto"/>
    </w:pPr>
  </w:style>
  <w:style w:type="character" w:customStyle="1" w:styleId="En-tteCar">
    <w:name w:val="En-tête Car"/>
    <w:basedOn w:val="Policepardfaut"/>
    <w:link w:val="En-tte"/>
    <w:uiPriority w:val="99"/>
    <w:rsid w:val="001C4CF0"/>
    <w:rPr>
      <w:rFonts w:eastAsiaTheme="minorEastAsia"/>
      <w:kern w:val="0"/>
      <w:lang w:eastAsia="fr-FR"/>
      <w14:ligatures w14:val="none"/>
    </w:rPr>
  </w:style>
  <w:style w:type="paragraph" w:styleId="Textedebulles">
    <w:name w:val="Balloon Text"/>
    <w:basedOn w:val="Normal"/>
    <w:link w:val="TextedebullesCar"/>
    <w:uiPriority w:val="99"/>
    <w:semiHidden/>
    <w:unhideWhenUsed/>
    <w:rsid w:val="001C4C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4CF0"/>
    <w:rPr>
      <w:rFonts w:ascii="Tahoma" w:eastAsiaTheme="minorEastAsia" w:hAnsi="Tahoma" w:cs="Tahoma"/>
      <w:kern w:val="0"/>
      <w:sz w:val="16"/>
      <w:szCs w:val="16"/>
      <w:lang w:eastAsia="fr-FR"/>
      <w14:ligatures w14:val="none"/>
    </w:rPr>
  </w:style>
  <w:style w:type="character" w:customStyle="1" w:styleId="apple-converted-space">
    <w:name w:val="apple-converted-space"/>
    <w:basedOn w:val="Policepardfaut"/>
    <w:rsid w:val="001C4CF0"/>
  </w:style>
  <w:style w:type="paragraph" w:customStyle="1" w:styleId="Standard">
    <w:name w:val="Standard"/>
    <w:rsid w:val="001C4CF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table" w:styleId="Grilledutableau">
    <w:name w:val="Table Grid"/>
    <w:basedOn w:val="TableauNormal"/>
    <w:uiPriority w:val="59"/>
    <w:rsid w:val="001C4CF0"/>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votladelib">
    <w:name w:val="Ont voté la delib"/>
    <w:basedOn w:val="Normal"/>
    <w:rsid w:val="001C4CF0"/>
    <w:pPr>
      <w:autoSpaceDE w:val="0"/>
      <w:autoSpaceDN w:val="0"/>
      <w:spacing w:after="140" w:line="240" w:lineRule="auto"/>
      <w:jc w:val="both"/>
    </w:pPr>
    <w:rPr>
      <w:rFonts w:ascii="Arial" w:eastAsia="Times New Roman" w:hAnsi="Arial" w:cs="Arial"/>
      <w:sz w:val="20"/>
      <w:szCs w:val="20"/>
    </w:rPr>
  </w:style>
  <w:style w:type="paragraph" w:styleId="Sansinterligne">
    <w:name w:val="No Spacing"/>
    <w:uiPriority w:val="1"/>
    <w:qFormat/>
    <w:rsid w:val="001C4CF0"/>
    <w:pPr>
      <w:spacing w:after="0" w:line="240" w:lineRule="auto"/>
    </w:pPr>
    <w:rPr>
      <w:rFonts w:ascii="Calibri" w:eastAsia="Calibri" w:hAnsi="Calibri" w:cs="Times New Roman"/>
      <w:kern w:val="0"/>
      <w:lang w:eastAsia="fr-FR"/>
      <w14:ligatures w14:val="none"/>
    </w:rPr>
  </w:style>
  <w:style w:type="paragraph" w:customStyle="1" w:styleId="paragrapheri">
    <w:name w:val="paragraphe ri"/>
    <w:basedOn w:val="Textedebulles"/>
    <w:autoRedefine/>
    <w:rsid w:val="001C4CF0"/>
    <w:rPr>
      <w:rFonts w:ascii="Segoe UI" w:hAnsi="Segoe UI" w:cs="Segoe UI"/>
      <w:sz w:val="18"/>
      <w:szCs w:val="18"/>
    </w:rPr>
  </w:style>
  <w:style w:type="paragraph" w:customStyle="1" w:styleId="LeMairerappellepropose">
    <w:name w:val="Le Maire rappelle/propose"/>
    <w:basedOn w:val="Normal"/>
    <w:rsid w:val="001C4CF0"/>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1C4CF0"/>
    <w:pPr>
      <w:autoSpaceDE w:val="0"/>
      <w:autoSpaceDN w:val="0"/>
      <w:spacing w:after="140" w:line="240" w:lineRule="auto"/>
      <w:jc w:val="both"/>
    </w:pPr>
    <w:rPr>
      <w:rFonts w:ascii="Arial" w:eastAsia="Times New Roman" w:hAnsi="Arial" w:cs="Arial"/>
      <w:sz w:val="20"/>
      <w:szCs w:val="20"/>
    </w:rPr>
  </w:style>
  <w:style w:type="paragraph" w:styleId="Retraitcorpsdetexte">
    <w:name w:val="Body Text Indent"/>
    <w:basedOn w:val="Normal"/>
    <w:link w:val="RetraitcorpsdetexteCar"/>
    <w:uiPriority w:val="99"/>
    <w:semiHidden/>
    <w:unhideWhenUsed/>
    <w:rsid w:val="001C4CF0"/>
    <w:pPr>
      <w:spacing w:after="120"/>
      <w:ind w:left="283"/>
    </w:pPr>
  </w:style>
  <w:style w:type="character" w:customStyle="1" w:styleId="RetraitcorpsdetexteCar">
    <w:name w:val="Retrait corps de texte Car"/>
    <w:basedOn w:val="Policepardfaut"/>
    <w:link w:val="Retraitcorpsdetexte"/>
    <w:uiPriority w:val="99"/>
    <w:semiHidden/>
    <w:rsid w:val="001C4CF0"/>
    <w:rPr>
      <w:rFonts w:eastAsiaTheme="minorEastAsia"/>
      <w:kern w:val="0"/>
      <w:lang w:eastAsia="fr-FR"/>
      <w14:ligatures w14:val="none"/>
    </w:rPr>
  </w:style>
  <w:style w:type="character" w:styleId="Lienhypertextesuivivisit">
    <w:name w:val="FollowedHyperlink"/>
    <w:basedOn w:val="Policepardfaut"/>
    <w:uiPriority w:val="99"/>
    <w:semiHidden/>
    <w:unhideWhenUsed/>
    <w:rsid w:val="001C4CF0"/>
    <w:rPr>
      <w:color w:val="954F72" w:themeColor="followedHyperlink"/>
      <w:u w:val="single"/>
    </w:rPr>
  </w:style>
  <w:style w:type="paragraph" w:styleId="NormalWeb">
    <w:name w:val="Normal (Web)"/>
    <w:basedOn w:val="Normal"/>
    <w:uiPriority w:val="99"/>
    <w:semiHidden/>
    <w:unhideWhenUsed/>
    <w:rsid w:val="001C4CF0"/>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1C4CF0"/>
    <w:pPr>
      <w:spacing w:after="120"/>
    </w:pPr>
  </w:style>
  <w:style w:type="character" w:customStyle="1" w:styleId="CorpsdetexteCar">
    <w:name w:val="Corps de texte Car"/>
    <w:basedOn w:val="Policepardfaut"/>
    <w:link w:val="Corpsdetexte"/>
    <w:uiPriority w:val="99"/>
    <w:rsid w:val="001C4CF0"/>
    <w:rPr>
      <w:rFonts w:eastAsiaTheme="minorEastAsia"/>
      <w:kern w:val="0"/>
      <w:lang w:eastAsia="fr-FR"/>
      <w14:ligatures w14:val="none"/>
    </w:rPr>
  </w:style>
  <w:style w:type="table" w:customStyle="1" w:styleId="Grilledutableau1">
    <w:name w:val="Grille du tableau1"/>
    <w:basedOn w:val="TableauNormal"/>
    <w:next w:val="Grilledutableau"/>
    <w:uiPriority w:val="59"/>
    <w:rsid w:val="00C17124"/>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1240</Words>
  <Characters>6820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7</cp:revision>
  <dcterms:created xsi:type="dcterms:W3CDTF">2023-11-02T10:28:00Z</dcterms:created>
  <dcterms:modified xsi:type="dcterms:W3CDTF">2023-11-17T15:39:00Z</dcterms:modified>
</cp:coreProperties>
</file>