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A7D1" w14:textId="77777777" w:rsidR="00F51D07" w:rsidRDefault="00F51D07" w:rsidP="00F51D07">
      <w:pPr>
        <w:tabs>
          <w:tab w:val="left" w:pos="284"/>
          <w:tab w:val="left" w:pos="2552"/>
        </w:tabs>
        <w:jc w:val="both"/>
        <w:rPr>
          <w:b/>
          <w:bCs/>
          <w:sz w:val="24"/>
          <w:szCs w:val="24"/>
        </w:rPr>
      </w:pPr>
    </w:p>
    <w:p w14:paraId="718FB27F" w14:textId="77777777" w:rsidR="00F51D07" w:rsidRDefault="00F51D07" w:rsidP="00F51D07">
      <w:pPr>
        <w:jc w:val="center"/>
        <w:outlineLvl w:val="0"/>
        <w:rPr>
          <w:sz w:val="24"/>
          <w:szCs w:val="24"/>
        </w:rPr>
      </w:pPr>
      <w:r>
        <w:rPr>
          <w:b/>
          <w:sz w:val="24"/>
          <w:szCs w:val="24"/>
        </w:rPr>
        <w:t>ARRÊTÉ FIXANT L’EFFECTIF RETENU AU 1</w:t>
      </w:r>
      <w:r>
        <w:rPr>
          <w:b/>
          <w:sz w:val="24"/>
          <w:szCs w:val="24"/>
          <w:vertAlign w:val="superscript"/>
        </w:rPr>
        <w:t>er</w:t>
      </w:r>
      <w:r>
        <w:rPr>
          <w:b/>
          <w:sz w:val="24"/>
          <w:szCs w:val="24"/>
        </w:rPr>
        <w:t xml:space="preserve"> JANVIER 2022</w:t>
      </w:r>
      <w:r>
        <w:rPr>
          <w:sz w:val="24"/>
          <w:szCs w:val="24"/>
        </w:rPr>
        <w:t xml:space="preserve"> </w:t>
      </w:r>
    </w:p>
    <w:p w14:paraId="446EC4C3" w14:textId="6E230460" w:rsidR="00F51D07" w:rsidRDefault="00F51D07" w:rsidP="00F51D07">
      <w:pPr>
        <w:jc w:val="center"/>
        <w:outlineLvl w:val="0"/>
        <w:rPr>
          <w:b/>
          <w:sz w:val="24"/>
          <w:szCs w:val="24"/>
        </w:rPr>
      </w:pPr>
      <w:r>
        <w:rPr>
          <w:b/>
          <w:sz w:val="24"/>
          <w:szCs w:val="24"/>
        </w:rPr>
        <w:t>POUR DETERMINER LA COMPOSITION DU COMITE SOCIAL TERRITORIAL COMMUN ET LES PARTS RESPECTIVES DE FEMMES ET D'HOMMES</w:t>
      </w:r>
    </w:p>
    <w:p w14:paraId="687F4374" w14:textId="77777777" w:rsidR="00F51D07" w:rsidRDefault="00F51D07" w:rsidP="00F51D07">
      <w:pPr>
        <w:tabs>
          <w:tab w:val="left" w:pos="284"/>
          <w:tab w:val="left" w:pos="2552"/>
        </w:tabs>
        <w:jc w:val="both"/>
        <w:rPr>
          <w:i/>
          <w:iCs/>
          <w:sz w:val="28"/>
          <w:szCs w:val="28"/>
        </w:rPr>
      </w:pPr>
    </w:p>
    <w:p w14:paraId="754BB871" w14:textId="77777777" w:rsidR="00F51D07" w:rsidRDefault="00F51D07" w:rsidP="00F51D07">
      <w:pPr>
        <w:tabs>
          <w:tab w:val="left" w:pos="284"/>
          <w:tab w:val="left" w:pos="2552"/>
        </w:tabs>
        <w:jc w:val="center"/>
        <w:rPr>
          <w:b/>
          <w:bCs/>
          <w:sz w:val="24"/>
          <w:szCs w:val="24"/>
        </w:rPr>
      </w:pPr>
      <w:r>
        <w:rPr>
          <w:b/>
          <w:i/>
          <w:iCs/>
          <w:sz w:val="24"/>
          <w:szCs w:val="24"/>
        </w:rPr>
        <w:t>Les mentions en italique constituent des commentaires destinés à faciliter la rédaction de l’arrêté. Ils doivent être supprimés du document définitif.</w:t>
      </w:r>
    </w:p>
    <w:p w14:paraId="74EFB831" w14:textId="77777777" w:rsidR="00F51D07" w:rsidRDefault="00F51D07" w:rsidP="00F51D07">
      <w:pPr>
        <w:tabs>
          <w:tab w:val="left" w:pos="284"/>
          <w:tab w:val="left" w:pos="2268"/>
          <w:tab w:val="left" w:pos="2552"/>
        </w:tabs>
        <w:jc w:val="both"/>
        <w:rPr>
          <w:sz w:val="24"/>
          <w:szCs w:val="24"/>
        </w:rPr>
      </w:pPr>
    </w:p>
    <w:p w14:paraId="2B7A146E" w14:textId="77777777" w:rsidR="00F51D07" w:rsidRDefault="00F51D07" w:rsidP="00F51D07">
      <w:pPr>
        <w:tabs>
          <w:tab w:val="left" w:pos="284"/>
          <w:tab w:val="left" w:pos="2268"/>
          <w:tab w:val="left" w:pos="2552"/>
        </w:tabs>
        <w:jc w:val="both"/>
        <w:rPr>
          <w:sz w:val="24"/>
          <w:szCs w:val="24"/>
        </w:rPr>
      </w:pPr>
      <w:r>
        <w:rPr>
          <w:sz w:val="24"/>
          <w:szCs w:val="24"/>
        </w:rPr>
        <w:t xml:space="preserve">Le Maire </w:t>
      </w:r>
      <w:r>
        <w:rPr>
          <w:i/>
          <w:sz w:val="24"/>
          <w:szCs w:val="24"/>
        </w:rPr>
        <w:t>(ou le Président ou la Présidente)</w:t>
      </w:r>
      <w:r>
        <w:rPr>
          <w:sz w:val="24"/>
          <w:szCs w:val="24"/>
        </w:rPr>
        <w:t xml:space="preserve"> de...</w:t>
      </w:r>
    </w:p>
    <w:p w14:paraId="056E97B5" w14:textId="77777777" w:rsidR="00F51D07" w:rsidRDefault="00F51D07" w:rsidP="00F51D07">
      <w:pPr>
        <w:jc w:val="both"/>
        <w:rPr>
          <w:rFonts w:ascii="Trebuchet MS" w:hAnsi="Trebuchet MS"/>
          <w:sz w:val="18"/>
          <w:szCs w:val="18"/>
        </w:rPr>
      </w:pPr>
    </w:p>
    <w:p w14:paraId="7EBEA2C3" w14:textId="77777777" w:rsidR="00F51D07" w:rsidRDefault="00F51D07" w:rsidP="00F51D07">
      <w:pPr>
        <w:jc w:val="both"/>
        <w:rPr>
          <w:sz w:val="24"/>
          <w:szCs w:val="24"/>
        </w:rPr>
      </w:pPr>
      <w:r>
        <w:rPr>
          <w:sz w:val="24"/>
          <w:szCs w:val="24"/>
        </w:rPr>
        <w:t>Vu le code général de la fonction publique notamment ses articles L251-5 à L251-10 ;</w:t>
      </w:r>
    </w:p>
    <w:p w14:paraId="727712E4" w14:textId="77777777" w:rsidR="00F51D07" w:rsidRDefault="00F51D07" w:rsidP="00F51D07">
      <w:pPr>
        <w:jc w:val="both"/>
        <w:rPr>
          <w:sz w:val="24"/>
          <w:szCs w:val="24"/>
        </w:rPr>
      </w:pPr>
    </w:p>
    <w:p w14:paraId="5D1C9F00" w14:textId="77777777" w:rsidR="00F51D07" w:rsidRDefault="00F51D07" w:rsidP="00F51D07">
      <w:pPr>
        <w:jc w:val="both"/>
        <w:rPr>
          <w:sz w:val="24"/>
          <w:szCs w:val="24"/>
        </w:rPr>
      </w:pPr>
      <w:r>
        <w:rPr>
          <w:sz w:val="24"/>
          <w:szCs w:val="24"/>
        </w:rPr>
        <w:t>Vu le d</w:t>
      </w:r>
      <w:r w:rsidRPr="000D13F2">
        <w:rPr>
          <w:sz w:val="24"/>
          <w:szCs w:val="24"/>
        </w:rPr>
        <w:t>écret n° 2021-571 du 10 mai 2021 relatif aux comités sociaux territoriaux des collectivités territoriales et de leurs établissements publics</w:t>
      </w:r>
      <w:r>
        <w:rPr>
          <w:sz w:val="24"/>
          <w:szCs w:val="24"/>
        </w:rPr>
        <w:t xml:space="preserve"> notamment ses articles 4, 29, 30 et 31 ;</w:t>
      </w:r>
    </w:p>
    <w:p w14:paraId="2E0CABAD" w14:textId="77777777" w:rsidR="00F51D07" w:rsidRDefault="00F51D07" w:rsidP="00F51D07">
      <w:pPr>
        <w:jc w:val="both"/>
        <w:rPr>
          <w:sz w:val="24"/>
          <w:szCs w:val="24"/>
        </w:rPr>
      </w:pPr>
    </w:p>
    <w:p w14:paraId="3722DC2C" w14:textId="2FC5660D" w:rsidR="00F51D07" w:rsidRDefault="00F51D07" w:rsidP="00F51D07">
      <w:pPr>
        <w:jc w:val="both"/>
        <w:rPr>
          <w:sz w:val="24"/>
          <w:szCs w:val="24"/>
        </w:rPr>
      </w:pPr>
      <w:r>
        <w:rPr>
          <w:sz w:val="24"/>
          <w:szCs w:val="24"/>
        </w:rPr>
        <w:t xml:space="preserve">Considérant que </w:t>
      </w:r>
      <w:bookmarkStart w:id="0" w:name="_Hlk99032950"/>
      <w:r>
        <w:rPr>
          <w:sz w:val="24"/>
          <w:szCs w:val="24"/>
        </w:rPr>
        <w:t>dans le cadre des prochaines élections professionnelles du comité social territorial commun, il convient d’arrêter au 1</w:t>
      </w:r>
      <w:r>
        <w:rPr>
          <w:sz w:val="24"/>
          <w:szCs w:val="24"/>
          <w:vertAlign w:val="superscript"/>
        </w:rPr>
        <w:t>er</w:t>
      </w:r>
      <w:r>
        <w:rPr>
          <w:sz w:val="24"/>
          <w:szCs w:val="24"/>
        </w:rPr>
        <w:t xml:space="preserve"> janvier 2022, l’effectif global des agents de la collectivité </w:t>
      </w:r>
      <w:r w:rsidRPr="00F51D07">
        <w:rPr>
          <w:sz w:val="24"/>
          <w:szCs w:val="24"/>
        </w:rPr>
        <w:t>et de l’établissement rattaché</w:t>
      </w:r>
      <w:r>
        <w:rPr>
          <w:i/>
          <w:iCs/>
          <w:sz w:val="24"/>
          <w:szCs w:val="24"/>
        </w:rPr>
        <w:t xml:space="preserve"> </w:t>
      </w:r>
      <w:r>
        <w:rPr>
          <w:sz w:val="24"/>
          <w:szCs w:val="24"/>
        </w:rPr>
        <w:t>qui remplissent à cette date les conditions pour être électeur et ensuite de déterminer les parts respectives de femmes et d'hommes composant cet effectif ;</w:t>
      </w:r>
    </w:p>
    <w:p w14:paraId="7229506E" w14:textId="4B0FE7C4" w:rsidR="00F51D07" w:rsidRDefault="00F51D07" w:rsidP="00F51D07">
      <w:pPr>
        <w:jc w:val="both"/>
        <w:rPr>
          <w:sz w:val="24"/>
          <w:szCs w:val="24"/>
        </w:rPr>
      </w:pPr>
    </w:p>
    <w:p w14:paraId="4F655308" w14:textId="48ADEC7D" w:rsidR="00F51D07" w:rsidRPr="00F51D07" w:rsidRDefault="00F51D07" w:rsidP="00F51D07">
      <w:pPr>
        <w:jc w:val="both"/>
        <w:rPr>
          <w:sz w:val="24"/>
          <w:szCs w:val="24"/>
        </w:rPr>
      </w:pPr>
      <w:r w:rsidRPr="00F51D07">
        <w:rPr>
          <w:sz w:val="24"/>
          <w:szCs w:val="24"/>
        </w:rPr>
        <w:t>Considérant que la consultation des organisations syndicales est intervenue le … 2022 soit 6 mois au moins avant la date du scrutin</w:t>
      </w:r>
      <w:bookmarkEnd w:id="0"/>
      <w:r>
        <w:rPr>
          <w:sz w:val="24"/>
          <w:szCs w:val="24"/>
        </w:rPr>
        <w:t>.</w:t>
      </w:r>
    </w:p>
    <w:p w14:paraId="7D2F4BF2" w14:textId="77777777" w:rsidR="00F51D07" w:rsidRDefault="00F51D07" w:rsidP="00F51D07">
      <w:pPr>
        <w:tabs>
          <w:tab w:val="left" w:pos="284"/>
          <w:tab w:val="left" w:pos="2268"/>
          <w:tab w:val="left" w:pos="2552"/>
        </w:tabs>
        <w:jc w:val="both"/>
        <w:rPr>
          <w:b/>
          <w:bCs/>
          <w:sz w:val="24"/>
          <w:szCs w:val="24"/>
        </w:rPr>
      </w:pPr>
    </w:p>
    <w:p w14:paraId="1A816E4A" w14:textId="77777777" w:rsidR="00F51D07" w:rsidRDefault="00F51D07" w:rsidP="00F51D07">
      <w:pPr>
        <w:tabs>
          <w:tab w:val="left" w:pos="284"/>
          <w:tab w:val="left" w:pos="2268"/>
          <w:tab w:val="left" w:pos="2552"/>
        </w:tabs>
        <w:jc w:val="center"/>
        <w:rPr>
          <w:b/>
          <w:bCs/>
          <w:sz w:val="24"/>
          <w:szCs w:val="24"/>
        </w:rPr>
      </w:pPr>
      <w:r>
        <w:rPr>
          <w:b/>
          <w:bCs/>
          <w:sz w:val="24"/>
          <w:szCs w:val="24"/>
        </w:rPr>
        <w:t>ARRÊTE</w:t>
      </w:r>
    </w:p>
    <w:p w14:paraId="7270CB98" w14:textId="77777777" w:rsidR="00F51D07" w:rsidRDefault="00F51D07" w:rsidP="00F51D07">
      <w:pPr>
        <w:jc w:val="both"/>
        <w:rPr>
          <w:sz w:val="24"/>
          <w:szCs w:val="24"/>
        </w:rPr>
      </w:pPr>
    </w:p>
    <w:p w14:paraId="6C3F87B1" w14:textId="77777777" w:rsidR="00F51D07" w:rsidRDefault="00F51D07" w:rsidP="00F51D07">
      <w:pPr>
        <w:jc w:val="both"/>
        <w:rPr>
          <w:sz w:val="24"/>
          <w:szCs w:val="24"/>
        </w:rPr>
      </w:pPr>
      <w:r>
        <w:rPr>
          <w:b/>
          <w:sz w:val="24"/>
          <w:szCs w:val="24"/>
          <w:u w:val="single"/>
        </w:rPr>
        <w:t>Article 1</w:t>
      </w:r>
      <w:r>
        <w:rPr>
          <w:b/>
          <w:sz w:val="24"/>
          <w:szCs w:val="24"/>
          <w:u w:val="single"/>
          <w:vertAlign w:val="superscript"/>
        </w:rPr>
        <w:t>er</w:t>
      </w:r>
      <w:r>
        <w:rPr>
          <w:b/>
          <w:sz w:val="24"/>
          <w:szCs w:val="24"/>
        </w:rPr>
        <w:t> :</w:t>
      </w:r>
    </w:p>
    <w:p w14:paraId="34566FE0" w14:textId="347417FF" w:rsidR="00F51D07" w:rsidRDefault="00F51D07" w:rsidP="00F51D07">
      <w:pPr>
        <w:jc w:val="both"/>
        <w:rPr>
          <w:sz w:val="24"/>
          <w:szCs w:val="24"/>
        </w:rPr>
      </w:pPr>
      <w:r>
        <w:rPr>
          <w:sz w:val="24"/>
          <w:szCs w:val="24"/>
        </w:rPr>
        <w:t>Au 1</w:t>
      </w:r>
      <w:r>
        <w:rPr>
          <w:sz w:val="24"/>
          <w:szCs w:val="24"/>
          <w:vertAlign w:val="superscript"/>
        </w:rPr>
        <w:t>er</w:t>
      </w:r>
      <w:r>
        <w:rPr>
          <w:sz w:val="24"/>
          <w:szCs w:val="24"/>
        </w:rPr>
        <w:t xml:space="preserve"> janvier 2022, l'effectif retenu pour déterminer la composition du comité social territorial commun de la collectivité </w:t>
      </w:r>
      <w:r w:rsidRPr="00F51D07">
        <w:rPr>
          <w:sz w:val="24"/>
          <w:szCs w:val="24"/>
        </w:rPr>
        <w:t>et du CCAS</w:t>
      </w:r>
      <w:r>
        <w:rPr>
          <w:i/>
          <w:iCs/>
          <w:sz w:val="24"/>
          <w:szCs w:val="24"/>
        </w:rPr>
        <w:t xml:space="preserve"> </w:t>
      </w:r>
      <w:r>
        <w:rPr>
          <w:sz w:val="24"/>
          <w:szCs w:val="24"/>
        </w:rPr>
        <w:t>est fixé à :</w:t>
      </w:r>
    </w:p>
    <w:p w14:paraId="7E1644C0" w14:textId="77777777" w:rsidR="00F51D07" w:rsidRPr="00F51D07" w:rsidRDefault="00F51D07" w:rsidP="00F51D07">
      <w:pPr>
        <w:numPr>
          <w:ilvl w:val="0"/>
          <w:numId w:val="2"/>
        </w:numPr>
        <w:contextualSpacing/>
        <w:jc w:val="both"/>
        <w:rPr>
          <w:rFonts w:eastAsia="Calibri"/>
          <w:bCs/>
          <w:sz w:val="24"/>
          <w:szCs w:val="24"/>
          <w:lang w:eastAsia="en-US"/>
        </w:rPr>
      </w:pPr>
      <w:r w:rsidRPr="00F51D07">
        <w:rPr>
          <w:rFonts w:eastAsia="Calibri"/>
          <w:bCs/>
          <w:sz w:val="24"/>
          <w:szCs w:val="24"/>
          <w:lang w:eastAsia="en-US"/>
        </w:rPr>
        <w:t>… agents à la commune, dont … femmes et … hommes,</w:t>
      </w:r>
    </w:p>
    <w:p w14:paraId="37587ADA" w14:textId="77777777" w:rsidR="00F51D07" w:rsidRPr="00F51D07" w:rsidRDefault="00F51D07" w:rsidP="00F51D07">
      <w:pPr>
        <w:numPr>
          <w:ilvl w:val="0"/>
          <w:numId w:val="2"/>
        </w:numPr>
        <w:contextualSpacing/>
        <w:jc w:val="both"/>
        <w:rPr>
          <w:rFonts w:eastAsia="Calibri"/>
          <w:bCs/>
          <w:sz w:val="24"/>
          <w:szCs w:val="24"/>
          <w:lang w:eastAsia="en-US"/>
        </w:rPr>
      </w:pPr>
      <w:r w:rsidRPr="00F51D07">
        <w:rPr>
          <w:rFonts w:eastAsia="Calibri"/>
          <w:bCs/>
          <w:sz w:val="24"/>
          <w:szCs w:val="24"/>
          <w:lang w:eastAsia="en-US"/>
        </w:rPr>
        <w:t>… agents au CCAS, dont … femmes et … hommes.</w:t>
      </w:r>
    </w:p>
    <w:p w14:paraId="7333DBE2" w14:textId="77777777" w:rsidR="00F51D07" w:rsidRDefault="00F51D07" w:rsidP="00F51D07">
      <w:pPr>
        <w:jc w:val="both"/>
        <w:rPr>
          <w:sz w:val="24"/>
          <w:szCs w:val="24"/>
        </w:rPr>
      </w:pPr>
    </w:p>
    <w:p w14:paraId="27876F07" w14:textId="77777777" w:rsidR="00F51D07" w:rsidRDefault="00F51D07" w:rsidP="00F51D07">
      <w:pPr>
        <w:jc w:val="both"/>
        <w:rPr>
          <w:sz w:val="24"/>
          <w:szCs w:val="24"/>
        </w:rPr>
      </w:pPr>
      <w:r>
        <w:rPr>
          <w:b/>
          <w:sz w:val="24"/>
          <w:szCs w:val="24"/>
          <w:u w:val="single"/>
        </w:rPr>
        <w:t>Article 2</w:t>
      </w:r>
      <w:r>
        <w:rPr>
          <w:b/>
          <w:sz w:val="24"/>
          <w:szCs w:val="24"/>
        </w:rPr>
        <w:t> :</w:t>
      </w:r>
    </w:p>
    <w:p w14:paraId="11BB3830" w14:textId="51CF0388" w:rsidR="00F51D07" w:rsidRDefault="00F51D07" w:rsidP="00F51D07">
      <w:pPr>
        <w:jc w:val="both"/>
        <w:rPr>
          <w:sz w:val="24"/>
          <w:szCs w:val="24"/>
        </w:rPr>
      </w:pPr>
      <w:bookmarkStart w:id="1" w:name="_Hlk99033047"/>
      <w:r>
        <w:rPr>
          <w:sz w:val="24"/>
          <w:szCs w:val="24"/>
        </w:rPr>
        <w:t>Les parts respectives de femmes et d'hommes composant l’effectif global pris en compte à l’article 1</w:t>
      </w:r>
      <w:r>
        <w:rPr>
          <w:sz w:val="24"/>
          <w:szCs w:val="24"/>
          <w:vertAlign w:val="superscript"/>
        </w:rPr>
        <w:t>er</w:t>
      </w:r>
      <w:r>
        <w:rPr>
          <w:sz w:val="24"/>
          <w:szCs w:val="24"/>
        </w:rPr>
        <w:t xml:space="preserve"> représentent :</w:t>
      </w:r>
    </w:p>
    <w:p w14:paraId="56673857" w14:textId="77777777" w:rsidR="00F51D07" w:rsidRDefault="00F51D07" w:rsidP="00F51D07">
      <w:pPr>
        <w:pStyle w:val="Paragraphedeliste"/>
        <w:numPr>
          <w:ilvl w:val="0"/>
          <w:numId w:val="1"/>
        </w:numPr>
        <w:jc w:val="both"/>
        <w:rPr>
          <w:sz w:val="24"/>
          <w:szCs w:val="24"/>
        </w:rPr>
      </w:pPr>
      <w:r>
        <w:rPr>
          <w:sz w:val="24"/>
          <w:szCs w:val="24"/>
        </w:rPr>
        <w:t>… femmes, soit …%</w:t>
      </w:r>
    </w:p>
    <w:p w14:paraId="50E95691" w14:textId="77777777" w:rsidR="00F51D07" w:rsidRDefault="00F51D07" w:rsidP="00F51D07">
      <w:pPr>
        <w:pStyle w:val="Paragraphedeliste"/>
        <w:numPr>
          <w:ilvl w:val="0"/>
          <w:numId w:val="1"/>
        </w:numPr>
        <w:jc w:val="both"/>
        <w:rPr>
          <w:sz w:val="24"/>
          <w:szCs w:val="24"/>
        </w:rPr>
      </w:pPr>
      <w:r>
        <w:rPr>
          <w:sz w:val="24"/>
          <w:szCs w:val="24"/>
        </w:rPr>
        <w:t>… hommes, soit …%</w:t>
      </w:r>
    </w:p>
    <w:bookmarkEnd w:id="1"/>
    <w:p w14:paraId="22AAE746" w14:textId="77777777" w:rsidR="00F51D07" w:rsidRDefault="00F51D07" w:rsidP="00F51D07">
      <w:pPr>
        <w:jc w:val="both"/>
        <w:rPr>
          <w:sz w:val="24"/>
          <w:szCs w:val="24"/>
        </w:rPr>
      </w:pPr>
    </w:p>
    <w:p w14:paraId="11771FCE" w14:textId="77777777" w:rsidR="00F51D07" w:rsidRDefault="00F51D07" w:rsidP="00F51D07">
      <w:pPr>
        <w:pStyle w:val="Retraitcorpsdetexte2"/>
        <w:tabs>
          <w:tab w:val="left" w:pos="284"/>
        </w:tabs>
        <w:spacing w:after="0" w:line="240" w:lineRule="auto"/>
        <w:ind w:left="0"/>
        <w:jc w:val="both"/>
        <w:rPr>
          <w:b/>
          <w:sz w:val="24"/>
          <w:szCs w:val="24"/>
        </w:rPr>
      </w:pPr>
      <w:r>
        <w:rPr>
          <w:b/>
          <w:sz w:val="24"/>
          <w:szCs w:val="24"/>
          <w:u w:val="single"/>
        </w:rPr>
        <w:t>Article 3</w:t>
      </w:r>
      <w:r>
        <w:rPr>
          <w:b/>
          <w:sz w:val="24"/>
          <w:szCs w:val="24"/>
        </w:rPr>
        <w:t xml:space="preserve"> : </w:t>
      </w:r>
    </w:p>
    <w:p w14:paraId="220BDE3B" w14:textId="77777777" w:rsidR="00F51D07" w:rsidRDefault="00F51D07" w:rsidP="00F51D07">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w:t>
      </w:r>
    </w:p>
    <w:p w14:paraId="3C594058" w14:textId="77777777" w:rsidR="00F51D07" w:rsidRDefault="00F51D07" w:rsidP="00F51D07">
      <w:pPr>
        <w:jc w:val="both"/>
        <w:rPr>
          <w:sz w:val="24"/>
          <w:szCs w:val="24"/>
        </w:rPr>
      </w:pPr>
    </w:p>
    <w:p w14:paraId="470651AD" w14:textId="77777777" w:rsidR="00F51D07" w:rsidRDefault="00F51D07" w:rsidP="00F51D07">
      <w:pPr>
        <w:pStyle w:val="Retraitcorpsdetexte2"/>
        <w:spacing w:after="0" w:line="240" w:lineRule="auto"/>
        <w:ind w:left="0"/>
        <w:jc w:val="both"/>
        <w:rPr>
          <w:b/>
          <w:sz w:val="24"/>
          <w:szCs w:val="24"/>
        </w:rPr>
      </w:pPr>
      <w:r>
        <w:rPr>
          <w:b/>
          <w:sz w:val="24"/>
          <w:szCs w:val="24"/>
          <w:u w:val="single"/>
        </w:rPr>
        <w:t>Article 4</w:t>
      </w:r>
      <w:r>
        <w:rPr>
          <w:b/>
          <w:sz w:val="24"/>
          <w:szCs w:val="24"/>
        </w:rPr>
        <w:t xml:space="preserve"> : </w:t>
      </w:r>
    </w:p>
    <w:p w14:paraId="58782E4A" w14:textId="77777777" w:rsidR="00F51D07" w:rsidRDefault="00F51D07" w:rsidP="00F51D07">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sa publication.</w:t>
      </w:r>
    </w:p>
    <w:p w14:paraId="1594C1EC" w14:textId="77777777" w:rsidR="00F51D07" w:rsidRPr="000D13F2" w:rsidRDefault="00F51D07" w:rsidP="00F51D07">
      <w:pPr>
        <w:tabs>
          <w:tab w:val="left" w:pos="0"/>
        </w:tabs>
        <w:jc w:val="both"/>
        <w:rPr>
          <w:sz w:val="24"/>
          <w:szCs w:val="24"/>
        </w:rPr>
      </w:pPr>
      <w:bookmarkStart w:id="2" w:name="_Hlk98338263"/>
      <w:r w:rsidRPr="000D13F2">
        <w:rPr>
          <w:sz w:val="24"/>
          <w:szCs w:val="24"/>
        </w:rPr>
        <w:t xml:space="preserve">Le Tribunal Administratif peut être saisi au moyen de l’application informatique </w:t>
      </w:r>
      <w:proofErr w:type="spellStart"/>
      <w:r w:rsidRPr="000D13F2">
        <w:rPr>
          <w:sz w:val="24"/>
          <w:szCs w:val="24"/>
        </w:rPr>
        <w:t>télérecours</w:t>
      </w:r>
      <w:proofErr w:type="spellEnd"/>
      <w:r w:rsidRPr="000D13F2">
        <w:rPr>
          <w:sz w:val="24"/>
          <w:szCs w:val="24"/>
        </w:rPr>
        <w:t xml:space="preserve"> citoyen accessible par le biais du site </w:t>
      </w:r>
      <w:hyperlink r:id="rId10" w:history="1">
        <w:r w:rsidRPr="000D13F2">
          <w:rPr>
            <w:rStyle w:val="Lienhypertexte"/>
            <w:sz w:val="24"/>
            <w:szCs w:val="24"/>
          </w:rPr>
          <w:t>www.telerecours.fr</w:t>
        </w:r>
      </w:hyperlink>
      <w:r w:rsidRPr="000D13F2">
        <w:rPr>
          <w:sz w:val="24"/>
          <w:szCs w:val="24"/>
        </w:rPr>
        <w:t>.</w:t>
      </w:r>
    </w:p>
    <w:bookmarkEnd w:id="2"/>
    <w:p w14:paraId="06E049F0" w14:textId="77777777" w:rsidR="00F51D07" w:rsidRDefault="00F51D07" w:rsidP="00F51D07">
      <w:pPr>
        <w:tabs>
          <w:tab w:val="left" w:pos="1276"/>
        </w:tabs>
        <w:jc w:val="both"/>
        <w:rPr>
          <w:b/>
          <w:color w:val="000000" w:themeColor="text1"/>
          <w:sz w:val="24"/>
          <w:szCs w:val="24"/>
          <w:u w:val="single"/>
        </w:rPr>
      </w:pPr>
    </w:p>
    <w:p w14:paraId="65812F70" w14:textId="77777777" w:rsidR="00F51D07" w:rsidRDefault="00F51D07" w:rsidP="00F51D07">
      <w:pPr>
        <w:tabs>
          <w:tab w:val="left" w:pos="284"/>
          <w:tab w:val="left" w:pos="1276"/>
        </w:tabs>
        <w:jc w:val="both"/>
        <w:rPr>
          <w:b/>
          <w:sz w:val="24"/>
          <w:szCs w:val="24"/>
        </w:rPr>
      </w:pPr>
      <w:r>
        <w:rPr>
          <w:b/>
          <w:sz w:val="24"/>
          <w:szCs w:val="24"/>
          <w:u w:val="single"/>
        </w:rPr>
        <w:lastRenderedPageBreak/>
        <w:t>Article 5</w:t>
      </w:r>
      <w:r>
        <w:rPr>
          <w:b/>
          <w:i/>
          <w:sz w:val="24"/>
          <w:szCs w:val="24"/>
        </w:rPr>
        <w:t xml:space="preserve"> </w:t>
      </w:r>
      <w:r>
        <w:rPr>
          <w:sz w:val="24"/>
          <w:szCs w:val="24"/>
        </w:rPr>
        <w:t>:</w:t>
      </w:r>
      <w:r>
        <w:rPr>
          <w:b/>
          <w:sz w:val="24"/>
          <w:szCs w:val="24"/>
        </w:rPr>
        <w:t xml:space="preserve"> </w:t>
      </w:r>
    </w:p>
    <w:p w14:paraId="2805BED2" w14:textId="267392CE" w:rsidR="00F51D07" w:rsidRDefault="00F51D07" w:rsidP="00F51D07">
      <w:pPr>
        <w:widowControl w:val="0"/>
        <w:tabs>
          <w:tab w:val="left" w:pos="426"/>
          <w:tab w:val="left" w:pos="1071"/>
        </w:tabs>
        <w:autoSpaceDE w:val="0"/>
        <w:autoSpaceDN w:val="0"/>
        <w:adjustRightInd w:val="0"/>
        <w:jc w:val="both"/>
        <w:rPr>
          <w:color w:val="000000"/>
          <w:sz w:val="24"/>
          <w:szCs w:val="24"/>
        </w:rPr>
      </w:pPr>
      <w:r>
        <w:rPr>
          <w:sz w:val="24"/>
          <w:szCs w:val="24"/>
        </w:rPr>
        <w:t xml:space="preserve">Ampliation du présent arrêté sera transmise </w:t>
      </w:r>
      <w:r>
        <w:rPr>
          <w:color w:val="000000"/>
          <w:sz w:val="24"/>
          <w:szCs w:val="24"/>
        </w:rPr>
        <w:t>au Président du Centre de Gestion</w:t>
      </w:r>
      <w:r w:rsidRPr="00F51D07">
        <w:t xml:space="preserve"> </w:t>
      </w:r>
      <w:r w:rsidRPr="00F51D07">
        <w:rPr>
          <w:color w:val="000000"/>
          <w:sz w:val="24"/>
          <w:szCs w:val="24"/>
        </w:rPr>
        <w:t>et communiqu</w:t>
      </w:r>
      <w:r>
        <w:rPr>
          <w:color w:val="000000"/>
          <w:sz w:val="24"/>
          <w:szCs w:val="24"/>
        </w:rPr>
        <w:t>ée</w:t>
      </w:r>
      <w:r w:rsidRPr="00F51D07">
        <w:rPr>
          <w:color w:val="000000"/>
          <w:sz w:val="24"/>
          <w:szCs w:val="24"/>
        </w:rPr>
        <w:t xml:space="preserve"> immédiatement aux organisations syndicales qui ont été préalablement consultées.</w:t>
      </w:r>
    </w:p>
    <w:p w14:paraId="7F763DAD" w14:textId="3AD3A873" w:rsidR="00F51D07" w:rsidRDefault="00F51D07" w:rsidP="00F51D07">
      <w:pPr>
        <w:tabs>
          <w:tab w:val="left" w:pos="284"/>
        </w:tabs>
        <w:jc w:val="both"/>
        <w:rPr>
          <w:sz w:val="24"/>
          <w:szCs w:val="24"/>
        </w:rPr>
      </w:pPr>
    </w:p>
    <w:p w14:paraId="64F225C8" w14:textId="77777777" w:rsidR="00F51D07" w:rsidRDefault="00F51D07" w:rsidP="00F51D07">
      <w:pPr>
        <w:tabs>
          <w:tab w:val="left" w:pos="284"/>
        </w:tabs>
        <w:jc w:val="both"/>
        <w:rPr>
          <w:sz w:val="24"/>
          <w:szCs w:val="24"/>
        </w:rPr>
      </w:pPr>
    </w:p>
    <w:p w14:paraId="7629094F" w14:textId="77777777" w:rsidR="00F51D07" w:rsidRDefault="00F51D07" w:rsidP="00F51D07">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Fait à ..., le ...</w:t>
      </w:r>
    </w:p>
    <w:p w14:paraId="1F571875" w14:textId="77777777" w:rsidR="00F51D07" w:rsidRPr="00C65AC4" w:rsidRDefault="00F51D07" w:rsidP="00F51D07">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Le Maire,</w:t>
      </w:r>
    </w:p>
    <w:p w14:paraId="0910CB54" w14:textId="77777777" w:rsidR="004869CA" w:rsidRDefault="007272D6"/>
    <w:sectPr w:rsidR="004869C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4DC8" w14:textId="77777777" w:rsidR="00000000" w:rsidRDefault="007272D6">
      <w:r>
        <w:separator/>
      </w:r>
    </w:p>
  </w:endnote>
  <w:endnote w:type="continuationSeparator" w:id="0">
    <w:p w14:paraId="70F1777E" w14:textId="77777777" w:rsidR="00000000" w:rsidRDefault="0072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049D" w14:textId="77777777" w:rsidR="008D230F" w:rsidRPr="008D230F" w:rsidRDefault="007272D6" w:rsidP="008D230F">
    <w:pPr>
      <w:tabs>
        <w:tab w:val="center" w:pos="4536"/>
        <w:tab w:val="right" w:pos="9072"/>
      </w:tabs>
      <w:jc w:val="center"/>
      <w:rPr>
        <w:rFonts w:eastAsiaTheme="minorHAnsi"/>
        <w:sz w:val="22"/>
        <w:szCs w:val="22"/>
        <w:lang w:eastAsia="en-US"/>
      </w:rPr>
    </w:pPr>
    <w:r w:rsidRPr="008D230F">
      <w:rPr>
        <w:rFonts w:eastAsiaTheme="minorHAnsi"/>
        <w:sz w:val="22"/>
        <w:szCs w:val="22"/>
        <w:lang w:eastAsia="en-US"/>
      </w:rPr>
      <w:t>Pôle juridiques et ca</w:t>
    </w:r>
    <w:r w:rsidRPr="008D230F">
      <w:rPr>
        <w:rFonts w:eastAsiaTheme="minorHAnsi"/>
        <w:sz w:val="22"/>
        <w:szCs w:val="22"/>
        <w:lang w:eastAsia="en-US"/>
      </w:rPr>
      <w:t>rrières CDG 60 – mars 2022</w:t>
    </w:r>
  </w:p>
  <w:p w14:paraId="4487D925" w14:textId="77777777" w:rsidR="008D230F" w:rsidRDefault="00727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3CD6" w14:textId="77777777" w:rsidR="00000000" w:rsidRDefault="007272D6">
      <w:r>
        <w:separator/>
      </w:r>
    </w:p>
  </w:footnote>
  <w:footnote w:type="continuationSeparator" w:id="0">
    <w:p w14:paraId="480D6BE9" w14:textId="77777777" w:rsidR="00000000" w:rsidRDefault="0072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91A"/>
    <w:multiLevelType w:val="hybridMultilevel"/>
    <w:tmpl w:val="D34455CC"/>
    <w:lvl w:ilvl="0" w:tplc="293E976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7964244"/>
    <w:multiLevelType w:val="hybridMultilevel"/>
    <w:tmpl w:val="30B28594"/>
    <w:lvl w:ilvl="0" w:tplc="8FC4E9C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07"/>
    <w:rsid w:val="007272D6"/>
    <w:rsid w:val="007E58CE"/>
    <w:rsid w:val="00D70B7F"/>
    <w:rsid w:val="00F51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1CD4"/>
  <w15:chartTrackingRefBased/>
  <w15:docId w15:val="{7CE037A9-5B28-41FA-9CCA-26EB3C2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0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semiHidden/>
    <w:unhideWhenUsed/>
    <w:rsid w:val="00F51D0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51D07"/>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51D07"/>
    <w:pPr>
      <w:ind w:left="720"/>
      <w:contextualSpacing/>
    </w:pPr>
  </w:style>
  <w:style w:type="character" w:styleId="Lienhypertexte">
    <w:name w:val="Hyperlink"/>
    <w:basedOn w:val="Policepardfaut"/>
    <w:uiPriority w:val="99"/>
    <w:unhideWhenUsed/>
    <w:rsid w:val="00F51D07"/>
    <w:rPr>
      <w:color w:val="0563C1" w:themeColor="hyperlink"/>
      <w:u w:val="single"/>
    </w:rPr>
  </w:style>
  <w:style w:type="paragraph" w:styleId="Pieddepage">
    <w:name w:val="footer"/>
    <w:basedOn w:val="Normal"/>
    <w:link w:val="PieddepageCar"/>
    <w:uiPriority w:val="99"/>
    <w:unhideWhenUsed/>
    <w:rsid w:val="00F51D07"/>
    <w:pPr>
      <w:tabs>
        <w:tab w:val="center" w:pos="4536"/>
        <w:tab w:val="right" w:pos="9072"/>
      </w:tabs>
    </w:pPr>
  </w:style>
  <w:style w:type="character" w:customStyle="1" w:styleId="PieddepageCar">
    <w:name w:val="Pied de page Car"/>
    <w:basedOn w:val="Policepardfaut"/>
    <w:link w:val="Pieddepage"/>
    <w:uiPriority w:val="99"/>
    <w:rsid w:val="00F51D0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82991B022034492009CC14DE62F24" ma:contentTypeVersion="2" ma:contentTypeDescription="Crée un document." ma:contentTypeScope="" ma:versionID="5b60e4a43353a90e0e396fe16c8bf880">
  <xsd:schema xmlns:xsd="http://www.w3.org/2001/XMLSchema" xmlns:xs="http://www.w3.org/2001/XMLSchema" xmlns:p="http://schemas.microsoft.com/office/2006/metadata/properties" xmlns:ns3="ee6278e9-3d4b-4e3a-8a39-eac9c30f1de9" targetNamespace="http://schemas.microsoft.com/office/2006/metadata/properties" ma:root="true" ma:fieldsID="06ff5952af74cc2d2374a087b87ab1ff" ns3:_="">
    <xsd:import namespace="ee6278e9-3d4b-4e3a-8a39-eac9c30f1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78e9-3d4b-4e3a-8a39-eac9c30f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A948A-0B44-4842-A259-8BE679D0E7AA}">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ee6278e9-3d4b-4e3a-8a39-eac9c30f1de9"/>
    <ds:schemaRef ds:uri="http://purl.org/dc/dcmitype/"/>
    <ds:schemaRef ds:uri="http://purl.org/dc/terms/"/>
  </ds:schemaRefs>
</ds:datastoreItem>
</file>

<file path=customXml/itemProps2.xml><?xml version="1.0" encoding="utf-8"?>
<ds:datastoreItem xmlns:ds="http://schemas.openxmlformats.org/officeDocument/2006/customXml" ds:itemID="{8359D28F-0946-43A1-88E1-A1CA957592A3}">
  <ds:schemaRefs>
    <ds:schemaRef ds:uri="http://schemas.microsoft.com/sharepoint/v3/contenttype/forms"/>
  </ds:schemaRefs>
</ds:datastoreItem>
</file>

<file path=customXml/itemProps3.xml><?xml version="1.0" encoding="utf-8"?>
<ds:datastoreItem xmlns:ds="http://schemas.openxmlformats.org/officeDocument/2006/customXml" ds:itemID="{CEB3A2D7-12FD-4699-84DA-1B02ED5E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78e9-3d4b-4e3a-8a39-eac9c30f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2</cp:revision>
  <dcterms:created xsi:type="dcterms:W3CDTF">2022-03-24T16:21:00Z</dcterms:created>
  <dcterms:modified xsi:type="dcterms:W3CDTF">2022-03-24T16:21:00Z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0x0101009A882991B022034492009CC14DE62F24</vt:lpwstr>
  </property>
</Properties>
</file>