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97E9E" w14:textId="3B8C8DCB" w:rsidR="000C65FA" w:rsidRPr="002F77B3" w:rsidRDefault="000C65FA" w:rsidP="000C65FA">
      <w:pPr>
        <w:spacing w:line="276" w:lineRule="auto"/>
        <w:jc w:val="center"/>
        <w:outlineLvl w:val="0"/>
        <w:rPr>
          <w:b/>
        </w:rPr>
      </w:pPr>
      <w:r w:rsidRPr="002F77B3">
        <w:rPr>
          <w:b/>
        </w:rPr>
        <w:t>A</w:t>
      </w:r>
      <w:r>
        <w:rPr>
          <w:b/>
        </w:rPr>
        <w:t>RRETE</w:t>
      </w:r>
      <w:r w:rsidRPr="002F77B3">
        <w:rPr>
          <w:b/>
        </w:rPr>
        <w:t xml:space="preserve"> </w:t>
      </w:r>
      <w:r>
        <w:rPr>
          <w:b/>
        </w:rPr>
        <w:t xml:space="preserve">PORTANT HABILITATION </w:t>
      </w:r>
      <w:r>
        <w:rPr>
          <w:b/>
          <w:u w:val="single"/>
        </w:rPr>
        <w:t>COLLECTIVE</w:t>
      </w:r>
      <w:r>
        <w:rPr>
          <w:b/>
        </w:rPr>
        <w:t xml:space="preserve"> A CONTROLER LES JUSTIFICATIFS DU PASS SANITAIRE OU DE L’OBLIGATION VACCINALE</w:t>
      </w:r>
    </w:p>
    <w:p w14:paraId="218B5B07" w14:textId="77777777" w:rsidR="000C65FA" w:rsidRPr="002F77B3" w:rsidRDefault="000C65FA" w:rsidP="000C65FA">
      <w:pPr>
        <w:spacing w:line="276" w:lineRule="auto"/>
      </w:pPr>
    </w:p>
    <w:p w14:paraId="7A2FD708" w14:textId="77777777" w:rsidR="000C65FA" w:rsidRPr="00442BBC" w:rsidRDefault="000C65FA" w:rsidP="000C65FA">
      <w:pPr>
        <w:pBdr>
          <w:top w:val="single" w:sz="4" w:space="1" w:color="auto"/>
          <w:left w:val="single" w:sz="4" w:space="4" w:color="auto"/>
          <w:bottom w:val="single" w:sz="4" w:space="1" w:color="auto"/>
          <w:right w:val="single" w:sz="4" w:space="4" w:color="auto"/>
        </w:pBdr>
        <w:shd w:val="clear" w:color="auto" w:fill="B4C6E7"/>
        <w:spacing w:line="276" w:lineRule="auto"/>
        <w:jc w:val="center"/>
        <w:rPr>
          <w:i/>
          <w:iCs/>
        </w:rPr>
      </w:pPr>
      <w:r w:rsidRPr="00442BBC">
        <w:rPr>
          <w:i/>
          <w:iCs/>
          <w:highlight w:val="yellow"/>
        </w:rPr>
        <w:t>Les mentions en italiques surlignées en jaune doivent être adaptées à votre situation et enlevées de la version définitive de l’arrêté.</w:t>
      </w:r>
    </w:p>
    <w:p w14:paraId="185956A7" w14:textId="77777777" w:rsidR="000C65FA" w:rsidRPr="002F77B3" w:rsidRDefault="000C65FA" w:rsidP="000C65FA">
      <w:pPr>
        <w:spacing w:line="276" w:lineRule="auto"/>
      </w:pPr>
    </w:p>
    <w:p w14:paraId="365E0B2D" w14:textId="77777777" w:rsidR="000C65FA" w:rsidRPr="002F77B3" w:rsidRDefault="000C65FA" w:rsidP="000C65FA">
      <w:pPr>
        <w:pStyle w:val="Sansinterligne"/>
        <w:spacing w:line="276" w:lineRule="auto"/>
        <w:jc w:val="both"/>
      </w:pPr>
      <w:r w:rsidRPr="002F77B3">
        <w:t xml:space="preserve">Le Maire </w:t>
      </w:r>
      <w:r w:rsidRPr="00257815">
        <w:rPr>
          <w:i/>
          <w:iCs/>
          <w:highlight w:val="yellow"/>
        </w:rPr>
        <w:t>(ou le Président)</w:t>
      </w:r>
      <w:r w:rsidRPr="002F77B3">
        <w:t xml:space="preserve"> de</w:t>
      </w:r>
      <w:r>
        <w:t xml:space="preserve"> </w:t>
      </w:r>
      <w:r w:rsidRPr="00257815">
        <w:rPr>
          <w:highlight w:val="yellow"/>
        </w:rPr>
        <w:t>...........................</w:t>
      </w:r>
    </w:p>
    <w:p w14:paraId="50DF9444" w14:textId="77777777" w:rsidR="000C65FA" w:rsidRPr="002F77B3" w:rsidRDefault="000C65FA" w:rsidP="000C65FA">
      <w:pPr>
        <w:pStyle w:val="Sansinterligne"/>
        <w:spacing w:line="276" w:lineRule="auto"/>
        <w:jc w:val="both"/>
      </w:pPr>
    </w:p>
    <w:p w14:paraId="2C47C328" w14:textId="77777777" w:rsidR="000C65FA" w:rsidRPr="002F77B3" w:rsidRDefault="000C65FA" w:rsidP="000C65FA">
      <w:pPr>
        <w:pStyle w:val="Sansinterligne"/>
        <w:spacing w:line="276" w:lineRule="auto"/>
        <w:jc w:val="both"/>
      </w:pPr>
      <w:r w:rsidRPr="002F77B3">
        <w:t>Vu la loi n° 82-213 du 2 Mars 1982 modifiée, relative aux droits et libertés des Communes, des Départements et des Régions,</w:t>
      </w:r>
    </w:p>
    <w:p w14:paraId="58168FD3" w14:textId="77777777" w:rsidR="000C65FA" w:rsidRPr="002F77B3" w:rsidRDefault="000C65FA" w:rsidP="000C65FA">
      <w:pPr>
        <w:pStyle w:val="Sansinterligne"/>
        <w:spacing w:line="276" w:lineRule="auto"/>
        <w:jc w:val="both"/>
      </w:pPr>
    </w:p>
    <w:p w14:paraId="749877A0" w14:textId="77777777" w:rsidR="000C65FA" w:rsidRPr="002F77B3" w:rsidRDefault="000C65FA" w:rsidP="000C65FA">
      <w:pPr>
        <w:pStyle w:val="Sansinterligne"/>
        <w:spacing w:line="276" w:lineRule="auto"/>
        <w:jc w:val="both"/>
      </w:pPr>
      <w:r w:rsidRPr="002F77B3">
        <w:t>Vu la loi n° 83-634 du 13 Juillet 1983 modifiée, portant droits et obligations des fonctionnaires,</w:t>
      </w:r>
    </w:p>
    <w:p w14:paraId="18323D7F" w14:textId="77777777" w:rsidR="000C65FA" w:rsidRPr="002F77B3" w:rsidRDefault="000C65FA" w:rsidP="000C65FA">
      <w:pPr>
        <w:pStyle w:val="Sansinterligne"/>
        <w:spacing w:line="276" w:lineRule="auto"/>
        <w:jc w:val="both"/>
      </w:pPr>
    </w:p>
    <w:p w14:paraId="5A6DFB17" w14:textId="77777777" w:rsidR="000C65FA" w:rsidRPr="002F77B3" w:rsidRDefault="000C65FA" w:rsidP="000C65FA">
      <w:pPr>
        <w:pStyle w:val="Sansinterligne"/>
        <w:spacing w:line="276" w:lineRule="auto"/>
        <w:jc w:val="both"/>
      </w:pPr>
      <w:r w:rsidRPr="002F77B3">
        <w:t>Vu la loi n° 84-53 du 26 Janvier 1984 modifiée, portant dispositions statutaires relatives à la Fonction Publique Territoriale,</w:t>
      </w:r>
    </w:p>
    <w:p w14:paraId="484685E9" w14:textId="77777777" w:rsidR="000C65FA" w:rsidRPr="002F77B3" w:rsidRDefault="000C65FA" w:rsidP="000C65FA">
      <w:pPr>
        <w:pStyle w:val="Sansinterligne"/>
        <w:spacing w:line="276" w:lineRule="auto"/>
        <w:jc w:val="both"/>
      </w:pPr>
    </w:p>
    <w:p w14:paraId="548C0C57" w14:textId="77777777" w:rsidR="000C65FA" w:rsidRPr="002F77B3" w:rsidRDefault="000C65FA" w:rsidP="000C65FA">
      <w:pPr>
        <w:pStyle w:val="Sansinterligne"/>
        <w:spacing w:line="276" w:lineRule="auto"/>
        <w:jc w:val="both"/>
        <w:rPr>
          <w:snapToGrid w:val="0"/>
        </w:rPr>
      </w:pPr>
      <w:r w:rsidRPr="002F77B3">
        <w:rPr>
          <w:snapToGrid w:val="0"/>
        </w:rPr>
        <w:t>Vu la loi n°</w:t>
      </w:r>
      <w:r>
        <w:rPr>
          <w:snapToGrid w:val="0"/>
        </w:rPr>
        <w:t xml:space="preserve"> </w:t>
      </w:r>
      <w:r w:rsidRPr="002F77B3">
        <w:rPr>
          <w:snapToGrid w:val="0"/>
        </w:rPr>
        <w:t>2021-</w:t>
      </w:r>
      <w:r>
        <w:rPr>
          <w:snapToGrid w:val="0"/>
        </w:rPr>
        <w:t xml:space="preserve">689 </w:t>
      </w:r>
      <w:r w:rsidRPr="002F77B3">
        <w:rPr>
          <w:snapToGrid w:val="0"/>
        </w:rPr>
        <w:t xml:space="preserve">du </w:t>
      </w:r>
      <w:r>
        <w:rPr>
          <w:snapToGrid w:val="0"/>
        </w:rPr>
        <w:t>31 mai 2021</w:t>
      </w:r>
      <w:r w:rsidRPr="002F77B3">
        <w:rPr>
          <w:snapToGrid w:val="0"/>
        </w:rPr>
        <w:t xml:space="preserve"> relative à la gestion de la </w:t>
      </w:r>
      <w:r>
        <w:rPr>
          <w:snapToGrid w:val="0"/>
        </w:rPr>
        <w:t xml:space="preserve">sortie de </w:t>
      </w:r>
      <w:r w:rsidRPr="002F77B3">
        <w:rPr>
          <w:snapToGrid w:val="0"/>
        </w:rPr>
        <w:t xml:space="preserve">crise sanitaire, </w:t>
      </w:r>
      <w:r>
        <w:rPr>
          <w:snapToGrid w:val="0"/>
        </w:rPr>
        <w:t>modifiée par la loi n° 2021-1040 du 5 août 2021 relative à la gestion de la crise sanitaire,</w:t>
      </w:r>
    </w:p>
    <w:p w14:paraId="1BC25780" w14:textId="77777777" w:rsidR="000C65FA" w:rsidRPr="002F77B3" w:rsidRDefault="000C65FA" w:rsidP="000C65FA">
      <w:pPr>
        <w:pStyle w:val="Sansinterligne"/>
        <w:spacing w:line="276" w:lineRule="auto"/>
        <w:jc w:val="both"/>
      </w:pPr>
    </w:p>
    <w:p w14:paraId="09A38093" w14:textId="0D1B6DCA" w:rsidR="000C65FA" w:rsidRPr="002F77B3" w:rsidRDefault="000C65FA" w:rsidP="000C65FA">
      <w:pPr>
        <w:pStyle w:val="Sansinterligne"/>
        <w:spacing w:line="276" w:lineRule="auto"/>
        <w:jc w:val="both"/>
      </w:pPr>
      <w:r w:rsidRPr="002F77B3">
        <w:t>Vu le décret n° 2021-699 du 1</w:t>
      </w:r>
      <w:r w:rsidRPr="00257815">
        <w:rPr>
          <w:vertAlign w:val="superscript"/>
        </w:rPr>
        <w:t>er</w:t>
      </w:r>
      <w:r>
        <w:t xml:space="preserve"> </w:t>
      </w:r>
      <w:r w:rsidRPr="002F77B3">
        <w:t>juin 2021 prescrivant les mesures générales nécessaires à la gestion de la sortie de crise sanitaire et notamment ses articles 2-1 à 2-</w:t>
      </w:r>
      <w:r>
        <w:t>4</w:t>
      </w:r>
      <w:r w:rsidRPr="002F77B3">
        <w:t xml:space="preserve"> et 47-1,</w:t>
      </w:r>
      <w:r>
        <w:t xml:space="preserve"> 49-1 à 49-2, modifié par le décret n° 2021-1059 du 7 août 2021.</w:t>
      </w:r>
    </w:p>
    <w:p w14:paraId="60884E48" w14:textId="77777777" w:rsidR="000C65FA" w:rsidRPr="002F77B3" w:rsidRDefault="000C65FA" w:rsidP="000C65FA">
      <w:pPr>
        <w:pStyle w:val="Sansinterligne"/>
        <w:spacing w:line="276" w:lineRule="auto"/>
        <w:jc w:val="both"/>
      </w:pPr>
    </w:p>
    <w:p w14:paraId="683019EA" w14:textId="77777777" w:rsidR="000C65FA" w:rsidRPr="002F77B3" w:rsidRDefault="000C65FA" w:rsidP="000C65FA">
      <w:pPr>
        <w:pStyle w:val="Sansinterligne"/>
        <w:spacing w:line="276" w:lineRule="auto"/>
        <w:jc w:val="both"/>
      </w:pPr>
    </w:p>
    <w:p w14:paraId="185F0638" w14:textId="77777777" w:rsidR="000C65FA" w:rsidRPr="002F77B3" w:rsidRDefault="000C65FA" w:rsidP="000C65FA">
      <w:pPr>
        <w:pStyle w:val="Sansinterligne"/>
        <w:spacing w:line="276" w:lineRule="auto"/>
        <w:jc w:val="center"/>
        <w:rPr>
          <w:b/>
        </w:rPr>
      </w:pPr>
      <w:r w:rsidRPr="002F77B3">
        <w:rPr>
          <w:b/>
        </w:rPr>
        <w:t>ARRETE</w:t>
      </w:r>
    </w:p>
    <w:p w14:paraId="107E4E84" w14:textId="77777777" w:rsidR="000C65FA" w:rsidRPr="002F77B3" w:rsidRDefault="000C65FA" w:rsidP="000C65FA">
      <w:pPr>
        <w:pStyle w:val="Sansinterligne"/>
        <w:spacing w:line="276" w:lineRule="auto"/>
        <w:jc w:val="both"/>
      </w:pPr>
    </w:p>
    <w:p w14:paraId="5896CBF5" w14:textId="77777777" w:rsidR="000C65FA" w:rsidRDefault="000C65FA" w:rsidP="000C65FA">
      <w:pPr>
        <w:pStyle w:val="Sansinterligne"/>
        <w:spacing w:line="276" w:lineRule="auto"/>
        <w:jc w:val="both"/>
        <w:rPr>
          <w:rFonts w:eastAsia="MS Mincho"/>
          <w:lang w:eastAsia="en-US"/>
        </w:rPr>
      </w:pPr>
      <w:r w:rsidRPr="002F77B3">
        <w:rPr>
          <w:b/>
          <w:u w:val="single"/>
        </w:rPr>
        <w:t>Article 1</w:t>
      </w:r>
      <w:r w:rsidRPr="002F77B3">
        <w:rPr>
          <w:b/>
          <w:u w:val="single"/>
          <w:vertAlign w:val="superscript"/>
        </w:rPr>
        <w:t>er</w:t>
      </w:r>
      <w:r w:rsidRPr="002F77B3">
        <w:t xml:space="preserve"> :</w:t>
      </w:r>
      <w:r w:rsidRPr="002F77B3">
        <w:rPr>
          <w:rFonts w:eastAsia="MS Mincho"/>
          <w:lang w:eastAsia="en-US"/>
        </w:rPr>
        <w:t xml:space="preserve"> </w:t>
      </w:r>
    </w:p>
    <w:p w14:paraId="7F858141" w14:textId="19C50867" w:rsidR="000C65FA" w:rsidRDefault="000C65FA" w:rsidP="000C65FA">
      <w:pPr>
        <w:pStyle w:val="Sansinterligne"/>
        <w:spacing w:line="276" w:lineRule="auto"/>
        <w:jc w:val="both"/>
        <w:rPr>
          <w:rFonts w:eastAsia="MS Mincho"/>
          <w:lang w:eastAsia="en-US"/>
        </w:rPr>
      </w:pPr>
      <w:r w:rsidRPr="000C65FA">
        <w:rPr>
          <w:rFonts w:eastAsia="MS Mincho"/>
          <w:lang w:eastAsia="en-US"/>
        </w:rPr>
        <w:t>Conformément aux dispositions du décret n° 2021-699 du 1</w:t>
      </w:r>
      <w:r w:rsidRPr="000C65FA">
        <w:rPr>
          <w:rFonts w:eastAsia="MS Mincho"/>
          <w:vertAlign w:val="superscript"/>
          <w:lang w:eastAsia="en-US"/>
        </w:rPr>
        <w:t>er</w:t>
      </w:r>
      <w:r>
        <w:rPr>
          <w:rFonts w:eastAsia="MS Mincho"/>
          <w:lang w:eastAsia="en-US"/>
        </w:rPr>
        <w:t xml:space="preserve"> </w:t>
      </w:r>
      <w:r w:rsidRPr="000C65FA">
        <w:rPr>
          <w:rFonts w:eastAsia="MS Mincho"/>
          <w:lang w:eastAsia="en-US"/>
        </w:rPr>
        <w:t xml:space="preserve">juin 2021 modifié prescrivant les mesures générales nécessaires à la gestion de la sortie de crise sanitaire, le Maire </w:t>
      </w:r>
      <w:r w:rsidRPr="000C65FA">
        <w:rPr>
          <w:rFonts w:eastAsia="MS Mincho"/>
          <w:i/>
          <w:iCs/>
          <w:highlight w:val="yellow"/>
          <w:lang w:eastAsia="en-US"/>
        </w:rPr>
        <w:t>(ou le Président)</w:t>
      </w:r>
      <w:r w:rsidRPr="000C65FA">
        <w:rPr>
          <w:rFonts w:eastAsia="MS Mincho"/>
          <w:i/>
          <w:iCs/>
          <w:lang w:eastAsia="en-US"/>
        </w:rPr>
        <w:t xml:space="preserve"> </w:t>
      </w:r>
      <w:r w:rsidRPr="000C65FA">
        <w:rPr>
          <w:rFonts w:eastAsia="MS Mincho"/>
          <w:lang w:eastAsia="en-US"/>
        </w:rPr>
        <w:t xml:space="preserve">de </w:t>
      </w:r>
      <w:r w:rsidRPr="000C65FA">
        <w:rPr>
          <w:rFonts w:eastAsia="MS Mincho"/>
          <w:highlight w:val="yellow"/>
          <w:lang w:eastAsia="en-US"/>
        </w:rPr>
        <w:t>……………</w:t>
      </w:r>
      <w:r w:rsidRPr="000C65FA">
        <w:rPr>
          <w:rFonts w:eastAsia="MS Mincho"/>
          <w:lang w:eastAsia="en-US"/>
        </w:rPr>
        <w:t>, donne habilitation aux agents nommément désignés dans le registre prévu à cet effet, aux fins de contrôler les justificatifs d’absence de contamination par la Covid-19, et en annexe du présent arrêté.</w:t>
      </w:r>
    </w:p>
    <w:p w14:paraId="31DB0039" w14:textId="77777777" w:rsidR="000C65FA" w:rsidRDefault="000C65FA" w:rsidP="000C65FA">
      <w:pPr>
        <w:pStyle w:val="Sansinterligne"/>
        <w:spacing w:line="276" w:lineRule="auto"/>
        <w:jc w:val="both"/>
        <w:rPr>
          <w:rFonts w:eastAsia="MS Mincho"/>
          <w:lang w:eastAsia="en-US"/>
        </w:rPr>
      </w:pPr>
    </w:p>
    <w:p w14:paraId="39A463F3" w14:textId="77777777" w:rsidR="000C65FA" w:rsidRPr="002F77B3" w:rsidRDefault="000C65FA" w:rsidP="000C65FA">
      <w:pPr>
        <w:pStyle w:val="Sansinterligne"/>
        <w:spacing w:line="276" w:lineRule="auto"/>
        <w:jc w:val="both"/>
        <w:rPr>
          <w:rFonts w:eastAsia="MS Mincho"/>
          <w:lang w:eastAsia="en-US"/>
        </w:rPr>
      </w:pPr>
      <w:r w:rsidRPr="002F77B3">
        <w:rPr>
          <w:rFonts w:eastAsia="MS Mincho"/>
          <w:lang w:eastAsia="en-US"/>
        </w:rPr>
        <w:t>Ce contrôle concerne :</w:t>
      </w:r>
    </w:p>
    <w:p w14:paraId="729B2190" w14:textId="77777777" w:rsidR="000C65FA" w:rsidRDefault="000C65FA" w:rsidP="000C65FA">
      <w:pPr>
        <w:pStyle w:val="Sansinterligne"/>
        <w:numPr>
          <w:ilvl w:val="0"/>
          <w:numId w:val="1"/>
        </w:numPr>
        <w:spacing w:line="276" w:lineRule="auto"/>
        <w:jc w:val="both"/>
        <w:rPr>
          <w:rFonts w:eastAsia="MS Mincho"/>
          <w:lang w:eastAsia="en-US"/>
        </w:rPr>
      </w:pPr>
      <w:r w:rsidRPr="00257815">
        <w:rPr>
          <w:rFonts w:eastAsia="MS Mincho"/>
          <w:lang w:eastAsia="en-US"/>
        </w:rPr>
        <w:t xml:space="preserve">Les participants, visiteurs, spectateurs, clients ou passagers </w:t>
      </w:r>
      <w:r w:rsidRPr="002F77B3">
        <w:rPr>
          <w:rFonts w:eastAsia="MS Mincho"/>
          <w:lang w:eastAsia="en-US"/>
        </w:rPr>
        <w:t>des lieux, établissements</w:t>
      </w:r>
      <w:r>
        <w:rPr>
          <w:rFonts w:eastAsia="MS Mincho"/>
          <w:lang w:eastAsia="en-US"/>
        </w:rPr>
        <w:t xml:space="preserve">, services </w:t>
      </w:r>
      <w:r w:rsidRPr="002F77B3">
        <w:rPr>
          <w:rFonts w:eastAsia="MS Mincho"/>
          <w:lang w:eastAsia="en-US"/>
        </w:rPr>
        <w:t xml:space="preserve">et événements </w:t>
      </w:r>
      <w:r w:rsidRPr="00257815">
        <w:rPr>
          <w:rFonts w:eastAsia="MS Mincho"/>
          <w:i/>
          <w:iCs/>
          <w:highlight w:val="yellow"/>
          <w:lang w:eastAsia="en-US"/>
        </w:rPr>
        <w:t>(à préciser)</w:t>
      </w:r>
      <w:r w:rsidRPr="002F77B3">
        <w:rPr>
          <w:rFonts w:eastAsia="MS Mincho"/>
          <w:lang w:eastAsia="en-US"/>
        </w:rPr>
        <w:t>,</w:t>
      </w:r>
    </w:p>
    <w:p w14:paraId="44638BAC" w14:textId="77777777" w:rsidR="000C65FA" w:rsidRPr="00257815" w:rsidRDefault="000C65FA" w:rsidP="000C65FA">
      <w:pPr>
        <w:pStyle w:val="Sansinterligne"/>
        <w:spacing w:line="276" w:lineRule="auto"/>
        <w:ind w:left="720"/>
        <w:jc w:val="both"/>
        <w:rPr>
          <w:rFonts w:eastAsia="MS Mincho"/>
          <w:i/>
          <w:iCs/>
          <w:lang w:eastAsia="en-US"/>
        </w:rPr>
      </w:pPr>
      <w:r w:rsidRPr="00B331DF">
        <w:rPr>
          <w:rFonts w:eastAsia="MS Mincho"/>
          <w:i/>
          <w:iCs/>
          <w:highlight w:val="yellow"/>
          <w:lang w:eastAsia="en-US"/>
        </w:rPr>
        <w:t>Et/ou</w:t>
      </w:r>
    </w:p>
    <w:p w14:paraId="39F210CA" w14:textId="77777777" w:rsidR="000C65FA" w:rsidRDefault="000C65FA" w:rsidP="000C65FA">
      <w:pPr>
        <w:pStyle w:val="Sansinterligne"/>
        <w:numPr>
          <w:ilvl w:val="0"/>
          <w:numId w:val="1"/>
        </w:numPr>
        <w:spacing w:line="276" w:lineRule="auto"/>
        <w:jc w:val="both"/>
        <w:rPr>
          <w:rFonts w:eastAsia="MS Mincho"/>
          <w:lang w:eastAsia="en-US"/>
        </w:rPr>
      </w:pPr>
      <w:r w:rsidRPr="002F77B3">
        <w:rPr>
          <w:rFonts w:eastAsia="MS Mincho"/>
          <w:lang w:eastAsia="en-US"/>
        </w:rPr>
        <w:t>Les agents exerçant leur fonction dans des lieux, établissements</w:t>
      </w:r>
      <w:r>
        <w:rPr>
          <w:rFonts w:eastAsia="MS Mincho"/>
          <w:lang w:eastAsia="en-US"/>
        </w:rPr>
        <w:t>, services</w:t>
      </w:r>
      <w:r w:rsidRPr="002F77B3">
        <w:rPr>
          <w:rFonts w:eastAsia="MS Mincho"/>
          <w:lang w:eastAsia="en-US"/>
        </w:rPr>
        <w:t xml:space="preserve"> et événements </w:t>
      </w:r>
      <w:r w:rsidRPr="00257815">
        <w:rPr>
          <w:rFonts w:eastAsia="MS Mincho"/>
          <w:i/>
          <w:iCs/>
          <w:highlight w:val="yellow"/>
          <w:lang w:eastAsia="en-US"/>
        </w:rPr>
        <w:t>(à préciser)</w:t>
      </w:r>
      <w:r>
        <w:rPr>
          <w:rFonts w:eastAsia="MS Mincho"/>
          <w:lang w:eastAsia="en-US"/>
        </w:rPr>
        <w:t>,</w:t>
      </w:r>
    </w:p>
    <w:p w14:paraId="167ADDEB" w14:textId="77777777" w:rsidR="000C65FA" w:rsidRPr="00257815" w:rsidRDefault="000C65FA" w:rsidP="000C65FA">
      <w:pPr>
        <w:pStyle w:val="Sansinterligne"/>
        <w:spacing w:line="276" w:lineRule="auto"/>
        <w:ind w:left="720"/>
        <w:jc w:val="both"/>
        <w:rPr>
          <w:rFonts w:eastAsia="MS Mincho"/>
          <w:i/>
          <w:iCs/>
          <w:lang w:eastAsia="en-US"/>
        </w:rPr>
      </w:pPr>
      <w:r w:rsidRPr="00B331DF">
        <w:rPr>
          <w:rFonts w:eastAsia="MS Mincho"/>
          <w:i/>
          <w:iCs/>
          <w:highlight w:val="yellow"/>
          <w:lang w:eastAsia="en-US"/>
        </w:rPr>
        <w:t>Et/ou</w:t>
      </w:r>
    </w:p>
    <w:p w14:paraId="02A02D42" w14:textId="77777777" w:rsidR="000C65FA" w:rsidRPr="002F77B3" w:rsidRDefault="000C65FA" w:rsidP="000C65FA">
      <w:pPr>
        <w:pStyle w:val="Sansinterligne"/>
        <w:numPr>
          <w:ilvl w:val="0"/>
          <w:numId w:val="1"/>
        </w:numPr>
        <w:spacing w:line="276" w:lineRule="auto"/>
        <w:jc w:val="both"/>
        <w:rPr>
          <w:rFonts w:eastAsia="MS Mincho"/>
          <w:lang w:eastAsia="en-US"/>
        </w:rPr>
      </w:pPr>
      <w:r>
        <w:rPr>
          <w:rFonts w:eastAsia="MS Mincho"/>
          <w:lang w:eastAsia="en-US"/>
        </w:rPr>
        <w:t xml:space="preserve">Les agents relevant de l’obligation vaccinale </w:t>
      </w:r>
      <w:r w:rsidRPr="00257815">
        <w:rPr>
          <w:rFonts w:eastAsia="MS Mincho"/>
          <w:i/>
          <w:iCs/>
          <w:highlight w:val="yellow"/>
          <w:lang w:eastAsia="en-US"/>
        </w:rPr>
        <w:t>(à préciser)</w:t>
      </w:r>
      <w:r>
        <w:rPr>
          <w:rFonts w:eastAsia="MS Mincho"/>
          <w:lang w:eastAsia="en-US"/>
        </w:rPr>
        <w:t>.</w:t>
      </w:r>
    </w:p>
    <w:p w14:paraId="55F4E8E2" w14:textId="77777777" w:rsidR="000C65FA" w:rsidRDefault="000C65FA" w:rsidP="000C65FA">
      <w:pPr>
        <w:pStyle w:val="Sansinterligne"/>
        <w:spacing w:line="276" w:lineRule="auto"/>
        <w:jc w:val="both"/>
      </w:pPr>
    </w:p>
    <w:p w14:paraId="2F9710E1" w14:textId="77777777" w:rsidR="000C65FA" w:rsidRDefault="000C65FA" w:rsidP="000C65FA">
      <w:pPr>
        <w:pStyle w:val="Sansinterligne"/>
        <w:spacing w:line="276" w:lineRule="auto"/>
        <w:jc w:val="both"/>
      </w:pPr>
    </w:p>
    <w:p w14:paraId="516F4BFF" w14:textId="77777777" w:rsidR="000C65FA" w:rsidRDefault="000C65FA" w:rsidP="000C65FA">
      <w:pPr>
        <w:pStyle w:val="Sansinterligne"/>
        <w:spacing w:line="276" w:lineRule="auto"/>
        <w:jc w:val="both"/>
      </w:pPr>
    </w:p>
    <w:p w14:paraId="23874D91" w14:textId="77777777" w:rsidR="000C65FA" w:rsidRDefault="000C65FA" w:rsidP="000C65FA">
      <w:pPr>
        <w:pStyle w:val="Sansinterligne"/>
        <w:spacing w:line="276" w:lineRule="auto"/>
        <w:jc w:val="both"/>
        <w:rPr>
          <w:rFonts w:eastAsia="MS Mincho"/>
          <w:b/>
          <w:lang w:eastAsia="en-US"/>
        </w:rPr>
      </w:pPr>
      <w:r w:rsidRPr="002F77B3">
        <w:rPr>
          <w:rFonts w:eastAsia="MS Mincho"/>
          <w:b/>
          <w:u w:val="single"/>
          <w:lang w:eastAsia="en-US"/>
        </w:rPr>
        <w:lastRenderedPageBreak/>
        <w:t>Article 2</w:t>
      </w:r>
      <w:r w:rsidRPr="002F77B3">
        <w:rPr>
          <w:rFonts w:eastAsia="MS Mincho"/>
          <w:b/>
          <w:lang w:eastAsia="en-US"/>
        </w:rPr>
        <w:t xml:space="preserve"> : </w:t>
      </w:r>
    </w:p>
    <w:p w14:paraId="18B78919" w14:textId="77777777" w:rsidR="000C65FA" w:rsidRPr="002F77B3" w:rsidRDefault="000C65FA" w:rsidP="000C65FA">
      <w:pPr>
        <w:pStyle w:val="Sansinterligne"/>
        <w:spacing w:line="276" w:lineRule="auto"/>
        <w:jc w:val="both"/>
        <w:rPr>
          <w:rFonts w:eastAsia="MS Mincho"/>
          <w:lang w:eastAsia="en-US"/>
        </w:rPr>
      </w:pPr>
      <w:r w:rsidRPr="002F77B3">
        <w:rPr>
          <w:rFonts w:eastAsia="MS Mincho"/>
          <w:lang w:eastAsia="en-US"/>
        </w:rPr>
        <w:t>Ce contrôle s’exercera selon les modalités suivantes :</w:t>
      </w:r>
    </w:p>
    <w:p w14:paraId="54133A41" w14:textId="77777777" w:rsidR="000C65FA" w:rsidRPr="002F77B3" w:rsidRDefault="000C65FA" w:rsidP="000C65FA">
      <w:pPr>
        <w:pStyle w:val="Sansinterligne"/>
        <w:spacing w:line="276" w:lineRule="auto"/>
        <w:jc w:val="both"/>
        <w:rPr>
          <w:rFonts w:eastAsia="MS Mincho"/>
          <w:lang w:eastAsia="en-US"/>
        </w:rPr>
      </w:pPr>
      <w:r w:rsidRPr="002F77B3">
        <w:rPr>
          <w:rFonts w:eastAsia="MS Mincho"/>
          <w:lang w:eastAsia="en-US"/>
        </w:rPr>
        <w:t xml:space="preserve">La lecture des justificatifs par les personnes habilitées est réalisée au moyen d'une application mobile dénommée “ </w:t>
      </w:r>
      <w:proofErr w:type="spellStart"/>
      <w:r w:rsidRPr="002F77B3">
        <w:rPr>
          <w:rFonts w:eastAsia="MS Mincho"/>
          <w:lang w:eastAsia="en-US"/>
        </w:rPr>
        <w:t>TousAntiCovid</w:t>
      </w:r>
      <w:proofErr w:type="spellEnd"/>
      <w:r w:rsidRPr="002F77B3">
        <w:rPr>
          <w:rFonts w:eastAsia="MS Mincho"/>
          <w:lang w:eastAsia="en-US"/>
        </w:rPr>
        <w:t xml:space="preserve"> Vérif ”, mise en œuvre par le ministre chargé de la santé (direction générale de la santé). </w:t>
      </w:r>
    </w:p>
    <w:p w14:paraId="00AEB5F8" w14:textId="77777777" w:rsidR="000C65FA" w:rsidRPr="002F77B3" w:rsidRDefault="000C65FA" w:rsidP="000C65FA">
      <w:pPr>
        <w:pStyle w:val="Sansinterligne"/>
        <w:spacing w:line="276" w:lineRule="auto"/>
        <w:jc w:val="both"/>
        <w:rPr>
          <w:rFonts w:eastAsia="MS Mincho"/>
          <w:lang w:eastAsia="en-US"/>
        </w:rPr>
      </w:pPr>
    </w:p>
    <w:p w14:paraId="4987A337" w14:textId="77777777" w:rsidR="000C65FA" w:rsidRPr="002F77B3" w:rsidRDefault="000C65FA" w:rsidP="000C65FA">
      <w:pPr>
        <w:pStyle w:val="Sansinterligne"/>
        <w:spacing w:line="276" w:lineRule="auto"/>
        <w:jc w:val="both"/>
        <w:rPr>
          <w:rFonts w:eastAsia="MS Mincho"/>
          <w:lang w:eastAsia="en-US"/>
        </w:rPr>
      </w:pPr>
      <w:r w:rsidRPr="002F77B3">
        <w:rPr>
          <w:rFonts w:eastAsia="MS Mincho"/>
          <w:lang w:eastAsia="en-US"/>
        </w:rPr>
        <w:t>La personne habilitée s’engage à télécharger sur son téléphone mobile professionnel, ou personnel le cas échéant, l’application nécessaire au contrôle et à ne s’en servir que dans le cadre de la présente habilitation. Si la personne habilitée ne dispose pas d’un téléphone compatible avec l’installation de cette application, un outil adapté lui sera fourni.</w:t>
      </w:r>
    </w:p>
    <w:p w14:paraId="738D50B1" w14:textId="77777777" w:rsidR="000C65FA" w:rsidRPr="002F77B3" w:rsidRDefault="000C65FA" w:rsidP="000C65FA">
      <w:pPr>
        <w:pStyle w:val="Sansinterligne"/>
        <w:spacing w:line="276" w:lineRule="auto"/>
        <w:jc w:val="both"/>
        <w:rPr>
          <w:rFonts w:eastAsia="MS Mincho"/>
          <w:lang w:eastAsia="en-US"/>
        </w:rPr>
      </w:pPr>
    </w:p>
    <w:p w14:paraId="0F5D8832" w14:textId="77777777" w:rsidR="000C65FA" w:rsidRPr="002F77B3" w:rsidRDefault="000C65FA" w:rsidP="000C65FA">
      <w:pPr>
        <w:pStyle w:val="Sansinterligne"/>
        <w:spacing w:line="276" w:lineRule="auto"/>
        <w:jc w:val="both"/>
        <w:rPr>
          <w:rFonts w:eastAsia="MS Mincho"/>
          <w:lang w:eastAsia="en-US"/>
        </w:rPr>
      </w:pPr>
      <w:r w:rsidRPr="002F77B3">
        <w:rPr>
          <w:rFonts w:eastAsia="MS Mincho"/>
          <w:lang w:eastAsia="en-US"/>
        </w:rPr>
        <w:t>L’application mobile permet à la personne habilitée de lire les noms, prénoms et date de naissance de la personne concernée par le justificatif, ainsi qu'un résultat positif ou négatif de détention d'un justificatif conforme.</w:t>
      </w:r>
    </w:p>
    <w:p w14:paraId="123E9D3D" w14:textId="77777777" w:rsidR="000C65FA" w:rsidRPr="002F77B3" w:rsidRDefault="000C65FA" w:rsidP="000C65FA">
      <w:pPr>
        <w:pStyle w:val="Sansinterligne"/>
        <w:spacing w:line="276" w:lineRule="auto"/>
        <w:jc w:val="both"/>
        <w:rPr>
          <w:rFonts w:eastAsia="MS Mincho"/>
          <w:lang w:eastAsia="en-US"/>
        </w:rPr>
      </w:pPr>
      <w:r w:rsidRPr="002F77B3">
        <w:rPr>
          <w:rFonts w:eastAsia="MS Mincho"/>
          <w:lang w:eastAsia="en-US"/>
        </w:rPr>
        <w:t>Les données mentionnées à l'alinéa précédent ne sont pas conservées sur l'application</w:t>
      </w:r>
      <w:r>
        <w:rPr>
          <w:rFonts w:eastAsia="MS Mincho"/>
          <w:lang w:eastAsia="en-US"/>
        </w:rPr>
        <w:t xml:space="preserve">     </w:t>
      </w:r>
      <w:r w:rsidRPr="002F77B3">
        <w:rPr>
          <w:rFonts w:eastAsia="MS Mincho"/>
          <w:lang w:eastAsia="en-US"/>
        </w:rPr>
        <w:t xml:space="preserve">“ </w:t>
      </w:r>
      <w:proofErr w:type="spellStart"/>
      <w:r w:rsidRPr="002F77B3">
        <w:rPr>
          <w:rFonts w:eastAsia="MS Mincho"/>
          <w:lang w:eastAsia="en-US"/>
        </w:rPr>
        <w:t>TousAntiCovid</w:t>
      </w:r>
      <w:proofErr w:type="spellEnd"/>
      <w:r w:rsidRPr="002F77B3">
        <w:rPr>
          <w:rFonts w:eastAsia="MS Mincho"/>
          <w:lang w:eastAsia="en-US"/>
        </w:rPr>
        <w:t xml:space="preserve"> Vérif ”. Elles ne sont traitées qu'une seule fois, lors de la lecture du justificatif.</w:t>
      </w:r>
    </w:p>
    <w:p w14:paraId="0722F40C" w14:textId="77777777" w:rsidR="000C65FA" w:rsidRPr="002F77B3" w:rsidRDefault="000C65FA" w:rsidP="000C65FA">
      <w:pPr>
        <w:pStyle w:val="Sansinterligne"/>
        <w:spacing w:line="276" w:lineRule="auto"/>
        <w:jc w:val="both"/>
        <w:rPr>
          <w:rFonts w:eastAsia="MS Mincho"/>
          <w:lang w:eastAsia="en-US"/>
        </w:rPr>
      </w:pPr>
    </w:p>
    <w:p w14:paraId="62F91D64" w14:textId="77777777" w:rsidR="000C65FA" w:rsidRPr="002F77B3" w:rsidRDefault="000C65FA" w:rsidP="000C65FA">
      <w:pPr>
        <w:pStyle w:val="Sansinterligne"/>
        <w:spacing w:line="276" w:lineRule="auto"/>
        <w:jc w:val="both"/>
        <w:rPr>
          <w:rFonts w:eastAsia="MS Mincho"/>
          <w:lang w:eastAsia="en-US"/>
        </w:rPr>
      </w:pPr>
      <w:r w:rsidRPr="002F77B3">
        <w:rPr>
          <w:rFonts w:eastAsia="MS Mincho"/>
          <w:lang w:eastAsia="en-US"/>
        </w:rPr>
        <w:t xml:space="preserve">Les justificatifs d’absence de contamination par la Covid-19 prennent, à travers la production d’un </w:t>
      </w:r>
      <w:proofErr w:type="spellStart"/>
      <w:r w:rsidRPr="002F77B3">
        <w:rPr>
          <w:rFonts w:eastAsia="MS Mincho"/>
          <w:lang w:eastAsia="en-US"/>
        </w:rPr>
        <w:t>pas</w:t>
      </w:r>
      <w:r>
        <w:rPr>
          <w:rFonts w:eastAsia="MS Mincho"/>
          <w:lang w:eastAsia="en-US"/>
        </w:rPr>
        <w:t>s</w:t>
      </w:r>
      <w:proofErr w:type="spellEnd"/>
      <w:r w:rsidRPr="002F77B3">
        <w:rPr>
          <w:rFonts w:eastAsia="MS Mincho"/>
          <w:lang w:eastAsia="en-US"/>
        </w:rPr>
        <w:t xml:space="preserve"> sanitaire, l’une des 3 formes suivantes :</w:t>
      </w:r>
    </w:p>
    <w:p w14:paraId="09E9658A" w14:textId="77777777" w:rsidR="000C65FA" w:rsidRPr="002F77B3" w:rsidRDefault="000C65FA" w:rsidP="000C65FA">
      <w:pPr>
        <w:pStyle w:val="Sansinterligne"/>
        <w:numPr>
          <w:ilvl w:val="0"/>
          <w:numId w:val="1"/>
        </w:numPr>
        <w:spacing w:line="276" w:lineRule="auto"/>
        <w:jc w:val="both"/>
        <w:rPr>
          <w:rFonts w:eastAsia="MS Mincho"/>
          <w:lang w:eastAsia="en-US"/>
        </w:rPr>
      </w:pPr>
      <w:r w:rsidRPr="002F77B3">
        <w:rPr>
          <w:rFonts w:eastAsia="MS Mincho"/>
          <w:lang w:eastAsia="en-US"/>
        </w:rPr>
        <w:t>Une preuve de vaccination (cycle vaccinal complet et délai nécessaire pour le développement des anticorps) ;</w:t>
      </w:r>
    </w:p>
    <w:p w14:paraId="59E91B4D" w14:textId="77777777" w:rsidR="000C65FA" w:rsidRPr="002F77B3" w:rsidRDefault="000C65FA" w:rsidP="000C65FA">
      <w:pPr>
        <w:pStyle w:val="Sansinterligne"/>
        <w:numPr>
          <w:ilvl w:val="0"/>
          <w:numId w:val="1"/>
        </w:numPr>
        <w:spacing w:line="276" w:lineRule="auto"/>
        <w:jc w:val="both"/>
        <w:rPr>
          <w:rFonts w:eastAsia="MS Mincho"/>
          <w:lang w:eastAsia="en-US"/>
        </w:rPr>
      </w:pPr>
      <w:r w:rsidRPr="002F77B3">
        <w:rPr>
          <w:rFonts w:eastAsia="MS Mincho"/>
          <w:lang w:eastAsia="en-US"/>
        </w:rPr>
        <w:t xml:space="preserve">Une preuve de test RT-PCR ou antigénique </w:t>
      </w:r>
      <w:r>
        <w:rPr>
          <w:rFonts w:eastAsia="MS Mincho"/>
          <w:lang w:eastAsia="en-US"/>
        </w:rPr>
        <w:t xml:space="preserve">ou </w:t>
      </w:r>
      <w:proofErr w:type="spellStart"/>
      <w:r>
        <w:rPr>
          <w:rFonts w:eastAsia="MS Mincho"/>
          <w:lang w:eastAsia="en-US"/>
        </w:rPr>
        <w:t>auto-test</w:t>
      </w:r>
      <w:proofErr w:type="spellEnd"/>
      <w:r>
        <w:rPr>
          <w:rFonts w:eastAsia="MS Mincho"/>
          <w:lang w:eastAsia="en-US"/>
        </w:rPr>
        <w:t xml:space="preserve"> </w:t>
      </w:r>
      <w:r w:rsidRPr="002F77B3">
        <w:rPr>
          <w:rFonts w:eastAsia="MS Mincho"/>
          <w:lang w:eastAsia="en-US"/>
        </w:rPr>
        <w:t xml:space="preserve">négatif de moins de </w:t>
      </w:r>
      <w:r>
        <w:rPr>
          <w:rFonts w:eastAsia="MS Mincho"/>
          <w:lang w:eastAsia="en-US"/>
        </w:rPr>
        <w:t>72</w:t>
      </w:r>
      <w:r w:rsidRPr="002F77B3">
        <w:rPr>
          <w:rFonts w:eastAsia="MS Mincho"/>
          <w:lang w:eastAsia="en-US"/>
        </w:rPr>
        <w:t>h</w:t>
      </w:r>
      <w:r>
        <w:rPr>
          <w:rFonts w:eastAsia="MS Mincho"/>
          <w:lang w:eastAsia="en-US"/>
        </w:rPr>
        <w:t xml:space="preserve"> réalisé par un professionnel de santé</w:t>
      </w:r>
      <w:r w:rsidRPr="002F77B3">
        <w:rPr>
          <w:rFonts w:eastAsia="MS Mincho"/>
          <w:lang w:eastAsia="en-US"/>
        </w:rPr>
        <w:t xml:space="preserve"> ;</w:t>
      </w:r>
    </w:p>
    <w:p w14:paraId="5EC92D57" w14:textId="77777777" w:rsidR="000C65FA" w:rsidRPr="002F77B3" w:rsidRDefault="000C65FA" w:rsidP="000C65FA">
      <w:pPr>
        <w:pStyle w:val="Sansinterligne"/>
        <w:numPr>
          <w:ilvl w:val="0"/>
          <w:numId w:val="1"/>
        </w:numPr>
        <w:spacing w:line="276" w:lineRule="auto"/>
        <w:jc w:val="both"/>
        <w:rPr>
          <w:rFonts w:eastAsia="MS Mincho"/>
          <w:lang w:eastAsia="en-US"/>
        </w:rPr>
      </w:pPr>
      <w:r w:rsidRPr="002F77B3">
        <w:rPr>
          <w:rFonts w:eastAsia="MS Mincho"/>
          <w:lang w:eastAsia="en-US"/>
        </w:rPr>
        <w:t xml:space="preserve">Une preuve de rétablissement (test RT-PCR ou antigénique positif </w:t>
      </w:r>
      <w:r>
        <w:rPr>
          <w:rFonts w:eastAsia="MS Mincho"/>
          <w:lang w:eastAsia="en-US"/>
        </w:rPr>
        <w:t>d’au moins</w:t>
      </w:r>
      <w:r w:rsidRPr="002F77B3">
        <w:rPr>
          <w:rFonts w:eastAsia="MS Mincho"/>
          <w:lang w:eastAsia="en-US"/>
        </w:rPr>
        <w:t xml:space="preserve"> 1</w:t>
      </w:r>
      <w:r>
        <w:rPr>
          <w:rFonts w:eastAsia="MS Mincho"/>
          <w:lang w:eastAsia="en-US"/>
        </w:rPr>
        <w:t>1</w:t>
      </w:r>
      <w:r w:rsidRPr="002F77B3">
        <w:rPr>
          <w:rFonts w:eastAsia="MS Mincho"/>
          <w:lang w:eastAsia="en-US"/>
        </w:rPr>
        <w:t xml:space="preserve"> jours et de moins de 6 mois).</w:t>
      </w:r>
    </w:p>
    <w:p w14:paraId="66DD50AC" w14:textId="77777777" w:rsidR="000C65FA" w:rsidRPr="002F77B3" w:rsidRDefault="000C65FA" w:rsidP="000C65FA">
      <w:pPr>
        <w:pStyle w:val="Sansinterligne"/>
        <w:spacing w:line="276" w:lineRule="auto"/>
        <w:jc w:val="both"/>
        <w:rPr>
          <w:rFonts w:eastAsia="MS Mincho"/>
          <w:lang w:eastAsia="en-US"/>
        </w:rPr>
      </w:pPr>
    </w:p>
    <w:p w14:paraId="536CD02B" w14:textId="77777777" w:rsidR="000C65FA" w:rsidRPr="002F77B3" w:rsidRDefault="000C65FA" w:rsidP="000C65FA">
      <w:pPr>
        <w:pStyle w:val="Sansinterligne"/>
        <w:spacing w:line="276" w:lineRule="auto"/>
        <w:jc w:val="both"/>
        <w:rPr>
          <w:rFonts w:eastAsia="MS Mincho"/>
          <w:lang w:eastAsia="en-US"/>
        </w:rPr>
      </w:pPr>
      <w:r w:rsidRPr="002F77B3">
        <w:rPr>
          <w:rFonts w:eastAsia="MS Mincho"/>
          <w:lang w:eastAsia="en-US"/>
        </w:rPr>
        <w:t>Ces justificatifs peuvent être présentés sous format papier ou numérique, enregistré sur l'application mobile “</w:t>
      </w:r>
      <w:proofErr w:type="spellStart"/>
      <w:r w:rsidRPr="002F77B3">
        <w:rPr>
          <w:rFonts w:eastAsia="MS Mincho"/>
          <w:lang w:eastAsia="en-US"/>
        </w:rPr>
        <w:t>TousAntiCovid</w:t>
      </w:r>
      <w:proofErr w:type="spellEnd"/>
      <w:r w:rsidRPr="002F77B3">
        <w:rPr>
          <w:rFonts w:eastAsia="MS Mincho"/>
          <w:lang w:eastAsia="en-US"/>
        </w:rPr>
        <w:t>” ou tout autre support numérique au choix de la personne concernée.</w:t>
      </w:r>
    </w:p>
    <w:p w14:paraId="107ADADD" w14:textId="77777777" w:rsidR="000C65FA" w:rsidRPr="002F77B3" w:rsidRDefault="000C65FA" w:rsidP="000C65FA">
      <w:pPr>
        <w:pStyle w:val="Sansinterligne"/>
        <w:spacing w:line="276" w:lineRule="auto"/>
        <w:jc w:val="both"/>
        <w:rPr>
          <w:rFonts w:eastAsia="MS Mincho"/>
          <w:lang w:eastAsia="en-US"/>
        </w:rPr>
      </w:pPr>
    </w:p>
    <w:p w14:paraId="542B1093" w14:textId="77777777" w:rsidR="000C65FA" w:rsidRPr="002F77B3" w:rsidRDefault="000C65FA" w:rsidP="000C65FA">
      <w:pPr>
        <w:pStyle w:val="Sansinterligne"/>
        <w:spacing w:line="276" w:lineRule="auto"/>
        <w:jc w:val="both"/>
        <w:rPr>
          <w:rFonts w:eastAsia="MS Mincho"/>
          <w:lang w:eastAsia="en-US"/>
        </w:rPr>
      </w:pPr>
      <w:r>
        <w:rPr>
          <w:rFonts w:eastAsia="MS Mincho"/>
          <w:lang w:eastAsia="en-US"/>
        </w:rPr>
        <w:t>À</w:t>
      </w:r>
      <w:r w:rsidRPr="002F77B3">
        <w:rPr>
          <w:rFonts w:eastAsia="MS Mincho"/>
          <w:lang w:eastAsia="en-US"/>
        </w:rPr>
        <w:t xml:space="preserve"> défaut de présenter les justificatifs de statut vaccinal :</w:t>
      </w:r>
    </w:p>
    <w:p w14:paraId="1327AB66" w14:textId="77777777" w:rsidR="000C65FA" w:rsidRPr="002F77B3" w:rsidRDefault="000C65FA" w:rsidP="000C65FA">
      <w:pPr>
        <w:pStyle w:val="Sansinterligne"/>
        <w:numPr>
          <w:ilvl w:val="0"/>
          <w:numId w:val="1"/>
        </w:numPr>
        <w:spacing w:line="276" w:lineRule="auto"/>
        <w:jc w:val="both"/>
        <w:rPr>
          <w:rFonts w:eastAsia="MS Mincho"/>
          <w:lang w:eastAsia="en-US"/>
        </w:rPr>
      </w:pPr>
      <w:r w:rsidRPr="002F77B3">
        <w:rPr>
          <w:rFonts w:eastAsia="MS Mincho"/>
          <w:b/>
          <w:u w:val="single"/>
          <w:lang w:eastAsia="en-US"/>
        </w:rPr>
        <w:t xml:space="preserve">Pour </w:t>
      </w:r>
      <w:r>
        <w:rPr>
          <w:rFonts w:eastAsia="MS Mincho"/>
          <w:b/>
          <w:u w:val="single"/>
          <w:lang w:eastAsia="en-US"/>
        </w:rPr>
        <w:t>l</w:t>
      </w:r>
      <w:r w:rsidRPr="00257815">
        <w:rPr>
          <w:rFonts w:eastAsia="MS Mincho"/>
          <w:b/>
          <w:u w:val="single"/>
          <w:lang w:eastAsia="en-US"/>
        </w:rPr>
        <w:t>es participants, visiteurs, spectateurs, clients ou passagers</w:t>
      </w:r>
      <w:r w:rsidRPr="002F77B3">
        <w:rPr>
          <w:rFonts w:eastAsia="MS Mincho"/>
          <w:lang w:eastAsia="en-US"/>
        </w:rPr>
        <w:t xml:space="preserve"> des lieux, établissements</w:t>
      </w:r>
      <w:r>
        <w:rPr>
          <w:rFonts w:eastAsia="MS Mincho"/>
          <w:lang w:eastAsia="en-US"/>
        </w:rPr>
        <w:t>, services</w:t>
      </w:r>
      <w:r w:rsidRPr="002F77B3">
        <w:rPr>
          <w:rFonts w:eastAsia="MS Mincho"/>
          <w:lang w:eastAsia="en-US"/>
        </w:rPr>
        <w:t xml:space="preserve"> et événements </w:t>
      </w:r>
      <w:r w:rsidRPr="00257815">
        <w:rPr>
          <w:rFonts w:eastAsia="MS Mincho"/>
          <w:i/>
          <w:iCs/>
          <w:highlight w:val="yellow"/>
          <w:lang w:eastAsia="en-US"/>
        </w:rPr>
        <w:t>(à préciser)</w:t>
      </w:r>
      <w:r w:rsidRPr="002F77B3">
        <w:rPr>
          <w:rFonts w:eastAsia="MS Mincho"/>
          <w:lang w:eastAsia="en-US"/>
        </w:rPr>
        <w:t> : L’accès sera refusé,</w:t>
      </w:r>
    </w:p>
    <w:p w14:paraId="73E73348" w14:textId="77777777" w:rsidR="000C65FA" w:rsidRPr="002F77B3" w:rsidRDefault="000C65FA" w:rsidP="000C65FA">
      <w:pPr>
        <w:pStyle w:val="Sansinterligne"/>
        <w:numPr>
          <w:ilvl w:val="0"/>
          <w:numId w:val="1"/>
        </w:numPr>
        <w:spacing w:line="276" w:lineRule="auto"/>
        <w:jc w:val="both"/>
        <w:rPr>
          <w:rFonts w:eastAsia="MS Mincho"/>
          <w:lang w:eastAsia="en-US"/>
        </w:rPr>
      </w:pPr>
      <w:r w:rsidRPr="002F77B3">
        <w:rPr>
          <w:rFonts w:eastAsia="MS Mincho"/>
          <w:b/>
          <w:u w:val="single"/>
          <w:lang w:eastAsia="en-US"/>
        </w:rPr>
        <w:t>Pour les agents exerçant leur fonction</w:t>
      </w:r>
      <w:r w:rsidRPr="002F77B3">
        <w:rPr>
          <w:rFonts w:eastAsia="MS Mincho"/>
          <w:lang w:eastAsia="en-US"/>
        </w:rPr>
        <w:t xml:space="preserve"> dans les lieux, établissements</w:t>
      </w:r>
      <w:r>
        <w:rPr>
          <w:rFonts w:eastAsia="MS Mincho"/>
          <w:lang w:eastAsia="en-US"/>
        </w:rPr>
        <w:t>, services</w:t>
      </w:r>
      <w:r w:rsidRPr="002F77B3">
        <w:rPr>
          <w:rFonts w:eastAsia="MS Mincho"/>
          <w:lang w:eastAsia="en-US"/>
        </w:rPr>
        <w:t xml:space="preserve"> et événements </w:t>
      </w:r>
      <w:r w:rsidRPr="00257815">
        <w:rPr>
          <w:rFonts w:eastAsia="MS Mincho"/>
          <w:i/>
          <w:iCs/>
          <w:highlight w:val="yellow"/>
          <w:lang w:eastAsia="en-US"/>
        </w:rPr>
        <w:t>(à préciser)</w:t>
      </w:r>
      <w:r w:rsidRPr="002F77B3">
        <w:rPr>
          <w:rFonts w:eastAsia="MS Mincho"/>
          <w:lang w:eastAsia="en-US"/>
        </w:rPr>
        <w:t> </w:t>
      </w:r>
      <w:r w:rsidRPr="00442BBC">
        <w:rPr>
          <w:rFonts w:eastAsia="MS Mincho"/>
          <w:i/>
          <w:iCs/>
          <w:highlight w:val="yellow"/>
          <w:lang w:eastAsia="en-US"/>
        </w:rPr>
        <w:t>et/ou</w:t>
      </w:r>
      <w:r>
        <w:rPr>
          <w:rFonts w:eastAsia="MS Mincho"/>
          <w:lang w:eastAsia="en-US"/>
        </w:rPr>
        <w:t xml:space="preserve"> les agents relevant de l’obligation vaccinale </w:t>
      </w:r>
      <w:r w:rsidRPr="002F77B3">
        <w:rPr>
          <w:rFonts w:eastAsia="MS Mincho"/>
          <w:lang w:eastAsia="en-US"/>
        </w:rPr>
        <w:t>: Ils seront :</w:t>
      </w:r>
    </w:p>
    <w:p w14:paraId="07A73916" w14:textId="77777777" w:rsidR="000C65FA" w:rsidRPr="002F77B3" w:rsidRDefault="000C65FA" w:rsidP="000C65FA">
      <w:pPr>
        <w:pStyle w:val="Sansinterligne"/>
        <w:numPr>
          <w:ilvl w:val="0"/>
          <w:numId w:val="2"/>
        </w:numPr>
        <w:spacing w:line="276" w:lineRule="auto"/>
        <w:jc w:val="both"/>
        <w:rPr>
          <w:rFonts w:eastAsia="MS Mincho"/>
          <w:lang w:eastAsia="en-US"/>
        </w:rPr>
      </w:pPr>
      <w:r w:rsidRPr="002F77B3">
        <w:rPr>
          <w:rFonts w:eastAsia="MS Mincho"/>
          <w:lang w:eastAsia="en-US"/>
        </w:rPr>
        <w:t xml:space="preserve">Placés en congés annuels </w:t>
      </w:r>
      <w:r>
        <w:rPr>
          <w:rFonts w:eastAsia="MS Mincho"/>
          <w:lang w:eastAsia="en-US"/>
        </w:rPr>
        <w:t xml:space="preserve">ou en jours d’ARTT </w:t>
      </w:r>
      <w:r w:rsidRPr="002F77B3">
        <w:rPr>
          <w:rFonts w:eastAsia="MS Mincho"/>
          <w:lang w:eastAsia="en-US"/>
        </w:rPr>
        <w:t>à leur demande ou,</w:t>
      </w:r>
    </w:p>
    <w:p w14:paraId="3545B212" w14:textId="77777777" w:rsidR="000C65FA" w:rsidRPr="002F77B3" w:rsidRDefault="000C65FA" w:rsidP="000C65FA">
      <w:pPr>
        <w:pStyle w:val="Sansinterligne"/>
        <w:numPr>
          <w:ilvl w:val="0"/>
          <w:numId w:val="2"/>
        </w:numPr>
        <w:spacing w:line="276" w:lineRule="auto"/>
        <w:jc w:val="both"/>
        <w:rPr>
          <w:rFonts w:eastAsia="MS Mincho"/>
          <w:lang w:eastAsia="en-US"/>
        </w:rPr>
      </w:pPr>
      <w:r w:rsidRPr="002F77B3">
        <w:rPr>
          <w:rFonts w:eastAsia="MS Mincho"/>
          <w:lang w:eastAsia="en-US"/>
        </w:rPr>
        <w:t>Suspendus de leur fonction sans rémunération ou,</w:t>
      </w:r>
    </w:p>
    <w:p w14:paraId="4DCD3567" w14:textId="77777777" w:rsidR="000C65FA" w:rsidRDefault="000C65FA" w:rsidP="000C65FA">
      <w:pPr>
        <w:pStyle w:val="Sansinterligne"/>
        <w:numPr>
          <w:ilvl w:val="0"/>
          <w:numId w:val="2"/>
        </w:numPr>
        <w:spacing w:line="276" w:lineRule="auto"/>
        <w:jc w:val="both"/>
        <w:rPr>
          <w:rFonts w:eastAsia="MS Mincho"/>
          <w:lang w:eastAsia="en-US"/>
        </w:rPr>
      </w:pPr>
      <w:r>
        <w:rPr>
          <w:rFonts w:eastAsia="MS Mincho"/>
          <w:lang w:eastAsia="en-US"/>
        </w:rPr>
        <w:t>Placés en télétravail si les fonctions le permettent ou,</w:t>
      </w:r>
    </w:p>
    <w:p w14:paraId="54869A97" w14:textId="77777777" w:rsidR="000C65FA" w:rsidRDefault="000C65FA" w:rsidP="000C65FA">
      <w:pPr>
        <w:pStyle w:val="Sansinterligne"/>
        <w:numPr>
          <w:ilvl w:val="0"/>
          <w:numId w:val="2"/>
        </w:numPr>
        <w:spacing w:line="276" w:lineRule="auto"/>
        <w:jc w:val="both"/>
        <w:rPr>
          <w:rFonts w:eastAsia="MS Mincho"/>
          <w:lang w:eastAsia="en-US"/>
        </w:rPr>
      </w:pPr>
      <w:r w:rsidRPr="002F77B3">
        <w:rPr>
          <w:rFonts w:eastAsia="MS Mincho"/>
          <w:lang w:eastAsia="en-US"/>
        </w:rPr>
        <w:t>Réaffectés sur un autre poste</w:t>
      </w:r>
      <w:r>
        <w:rPr>
          <w:rFonts w:eastAsia="MS Mincho"/>
          <w:lang w:eastAsia="en-US"/>
        </w:rPr>
        <w:t>.</w:t>
      </w:r>
    </w:p>
    <w:p w14:paraId="4AE57B74" w14:textId="77777777" w:rsidR="000C65FA" w:rsidRPr="002F77B3" w:rsidRDefault="000C65FA" w:rsidP="000C65FA">
      <w:pPr>
        <w:pStyle w:val="Sansinterligne"/>
        <w:spacing w:line="276" w:lineRule="auto"/>
        <w:jc w:val="both"/>
        <w:rPr>
          <w:rFonts w:eastAsia="MS Mincho"/>
          <w:lang w:eastAsia="en-US"/>
        </w:rPr>
      </w:pPr>
    </w:p>
    <w:p w14:paraId="60BE00DB" w14:textId="77777777" w:rsidR="000C65FA" w:rsidRDefault="000C65FA" w:rsidP="000C65FA">
      <w:pPr>
        <w:pStyle w:val="Sansinterligne"/>
        <w:spacing w:line="276" w:lineRule="auto"/>
        <w:jc w:val="both"/>
        <w:rPr>
          <w:rFonts w:eastAsia="MS Mincho"/>
          <w:b/>
          <w:lang w:eastAsia="en-US"/>
        </w:rPr>
      </w:pPr>
      <w:r w:rsidRPr="002F77B3">
        <w:rPr>
          <w:rFonts w:eastAsia="MS Mincho"/>
          <w:b/>
          <w:u w:val="single"/>
          <w:lang w:eastAsia="en-US"/>
        </w:rPr>
        <w:t>Article 3</w:t>
      </w:r>
      <w:r w:rsidRPr="00442BBC">
        <w:rPr>
          <w:rFonts w:eastAsia="MS Mincho"/>
          <w:b/>
          <w:lang w:eastAsia="en-US"/>
        </w:rPr>
        <w:t> </w:t>
      </w:r>
      <w:r w:rsidRPr="002F77B3">
        <w:rPr>
          <w:rFonts w:eastAsia="MS Mincho"/>
          <w:b/>
          <w:lang w:eastAsia="en-US"/>
        </w:rPr>
        <w:t xml:space="preserve">: </w:t>
      </w:r>
    </w:p>
    <w:p w14:paraId="7433CB17" w14:textId="77777777" w:rsidR="000C65FA" w:rsidRDefault="000C65FA" w:rsidP="000C65FA">
      <w:pPr>
        <w:pStyle w:val="Sansinterligne"/>
        <w:spacing w:line="276" w:lineRule="auto"/>
        <w:jc w:val="both"/>
        <w:rPr>
          <w:rFonts w:eastAsia="MS Mincho"/>
          <w:lang w:eastAsia="en-US"/>
        </w:rPr>
      </w:pPr>
      <w:r w:rsidRPr="002F77B3">
        <w:rPr>
          <w:rFonts w:eastAsia="MS Mincho"/>
          <w:lang w:eastAsia="en-US"/>
        </w:rPr>
        <w:t>La présente habilitation donne lieu à la tenue d’un registre détaillant les personnes ainsi habilitées, la date de leur habilitation, ainsi que les jours et horaires des contrôles effectués par ces personnes.</w:t>
      </w:r>
    </w:p>
    <w:p w14:paraId="4D6365C9" w14:textId="77777777" w:rsidR="000C65FA" w:rsidRDefault="000C65FA" w:rsidP="000C65FA">
      <w:pPr>
        <w:pStyle w:val="Sansinterligne"/>
        <w:spacing w:line="276" w:lineRule="auto"/>
        <w:jc w:val="both"/>
        <w:rPr>
          <w:rFonts w:eastAsia="MS Mincho"/>
          <w:b/>
          <w:lang w:eastAsia="en-US"/>
        </w:rPr>
      </w:pPr>
      <w:r w:rsidRPr="002F77B3">
        <w:rPr>
          <w:rFonts w:eastAsia="MS Mincho"/>
          <w:b/>
          <w:u w:val="single"/>
          <w:lang w:eastAsia="en-US"/>
        </w:rPr>
        <w:lastRenderedPageBreak/>
        <w:t>Article 4</w:t>
      </w:r>
      <w:r w:rsidRPr="00442BBC">
        <w:rPr>
          <w:rFonts w:eastAsia="MS Mincho"/>
          <w:b/>
          <w:lang w:eastAsia="en-US"/>
        </w:rPr>
        <w:t> :</w:t>
      </w:r>
      <w:r w:rsidRPr="002F77B3">
        <w:rPr>
          <w:rFonts w:eastAsia="MS Mincho"/>
          <w:b/>
          <w:lang w:eastAsia="en-US"/>
        </w:rPr>
        <w:t xml:space="preserve"> </w:t>
      </w:r>
    </w:p>
    <w:p w14:paraId="7944AA3B" w14:textId="77777777" w:rsidR="000C65FA" w:rsidRPr="002F77B3" w:rsidRDefault="000C65FA" w:rsidP="000C65FA">
      <w:pPr>
        <w:pStyle w:val="Sansinterligne"/>
        <w:spacing w:line="276" w:lineRule="auto"/>
        <w:jc w:val="both"/>
        <w:rPr>
          <w:rFonts w:eastAsia="MS Mincho"/>
          <w:lang w:eastAsia="en-US"/>
        </w:rPr>
      </w:pPr>
      <w:r w:rsidRPr="002F77B3">
        <w:rPr>
          <w:rFonts w:eastAsia="MS Mincho"/>
          <w:lang w:eastAsia="en-US"/>
        </w:rPr>
        <w:t xml:space="preserve">Le présent arrêté sera affiché dans les locaux de la mairie </w:t>
      </w:r>
      <w:r w:rsidRPr="00257815">
        <w:rPr>
          <w:rFonts w:eastAsia="MS Mincho"/>
          <w:i/>
          <w:iCs/>
          <w:highlight w:val="yellow"/>
          <w:lang w:eastAsia="en-US"/>
        </w:rPr>
        <w:t>(ou de l’établissement) de ………………</w:t>
      </w:r>
      <w:proofErr w:type="gramStart"/>
      <w:r w:rsidRPr="00257815">
        <w:rPr>
          <w:rFonts w:eastAsia="MS Mincho"/>
          <w:i/>
          <w:iCs/>
          <w:highlight w:val="yellow"/>
          <w:lang w:eastAsia="en-US"/>
        </w:rPr>
        <w:t>…….</w:t>
      </w:r>
      <w:proofErr w:type="gramEnd"/>
      <w:r w:rsidRPr="00257815">
        <w:rPr>
          <w:rFonts w:eastAsia="MS Mincho"/>
          <w:i/>
          <w:iCs/>
          <w:highlight w:val="yellow"/>
          <w:lang w:eastAsia="en-US"/>
        </w:rPr>
        <w:t>.</w:t>
      </w:r>
      <w:r w:rsidRPr="002F77B3">
        <w:rPr>
          <w:rFonts w:eastAsia="MS Mincho"/>
          <w:lang w:eastAsia="en-US"/>
        </w:rPr>
        <w:t xml:space="preserve"> </w:t>
      </w:r>
      <w:proofErr w:type="gramStart"/>
      <w:r w:rsidRPr="002F77B3">
        <w:rPr>
          <w:rFonts w:eastAsia="MS Mincho"/>
          <w:lang w:eastAsia="en-US"/>
        </w:rPr>
        <w:t>et</w:t>
      </w:r>
      <w:proofErr w:type="gramEnd"/>
      <w:r w:rsidRPr="002F77B3">
        <w:rPr>
          <w:rFonts w:eastAsia="MS Mincho"/>
          <w:lang w:eastAsia="en-US"/>
        </w:rPr>
        <w:t xml:space="preserve"> ampliation sera transmise à </w:t>
      </w:r>
      <w:r>
        <w:rPr>
          <w:rFonts w:eastAsia="MS Mincho"/>
          <w:lang w:eastAsia="en-US"/>
        </w:rPr>
        <w:t>la préfecture de l’Oise</w:t>
      </w:r>
      <w:r w:rsidRPr="002F77B3">
        <w:rPr>
          <w:rFonts w:eastAsia="MS Mincho"/>
          <w:lang w:eastAsia="en-US"/>
        </w:rPr>
        <w:t xml:space="preserve">. </w:t>
      </w:r>
    </w:p>
    <w:p w14:paraId="5A43A4F3" w14:textId="77777777" w:rsidR="000C65FA" w:rsidRPr="002F77B3" w:rsidRDefault="000C65FA" w:rsidP="000C65FA">
      <w:pPr>
        <w:pStyle w:val="Sansinterligne"/>
        <w:spacing w:line="276" w:lineRule="auto"/>
        <w:jc w:val="both"/>
        <w:rPr>
          <w:rFonts w:eastAsia="MS Mincho"/>
          <w:lang w:eastAsia="en-US"/>
        </w:rPr>
      </w:pPr>
    </w:p>
    <w:p w14:paraId="701BE081" w14:textId="77777777" w:rsidR="000C65FA" w:rsidRDefault="000C65FA" w:rsidP="000C65FA">
      <w:pPr>
        <w:pStyle w:val="Sansinterligne"/>
        <w:spacing w:line="276" w:lineRule="auto"/>
        <w:jc w:val="both"/>
        <w:rPr>
          <w:rFonts w:eastAsia="MS Mincho"/>
          <w:lang w:eastAsia="en-US"/>
        </w:rPr>
      </w:pPr>
      <w:r w:rsidRPr="002F77B3">
        <w:rPr>
          <w:rFonts w:eastAsia="MS Mincho"/>
          <w:b/>
          <w:u w:val="single"/>
          <w:lang w:eastAsia="en-US"/>
        </w:rPr>
        <w:t>Article 5</w:t>
      </w:r>
      <w:r w:rsidRPr="00442BBC">
        <w:rPr>
          <w:rFonts w:eastAsia="MS Mincho"/>
          <w:b/>
          <w:lang w:eastAsia="en-US"/>
        </w:rPr>
        <w:t> </w:t>
      </w:r>
      <w:r w:rsidRPr="002F77B3">
        <w:rPr>
          <w:rFonts w:eastAsia="MS Mincho"/>
          <w:lang w:eastAsia="en-US"/>
        </w:rPr>
        <w:t xml:space="preserve">:  </w:t>
      </w:r>
    </w:p>
    <w:p w14:paraId="7880BA15" w14:textId="77777777" w:rsidR="000C65FA" w:rsidRPr="002F77B3" w:rsidRDefault="000C65FA" w:rsidP="000C65FA">
      <w:pPr>
        <w:pStyle w:val="Sansinterligne"/>
        <w:spacing w:line="276" w:lineRule="auto"/>
        <w:jc w:val="both"/>
        <w:rPr>
          <w:rFonts w:eastAsia="MS Mincho"/>
          <w:lang w:eastAsia="en-US"/>
        </w:rPr>
      </w:pPr>
      <w:r w:rsidRPr="002F77B3">
        <w:rPr>
          <w:rFonts w:eastAsia="MS Mincho"/>
          <w:lang w:eastAsia="en-US"/>
        </w:rPr>
        <w:t xml:space="preserve">Le </w:t>
      </w:r>
      <w:r w:rsidRPr="002F77B3">
        <w:t xml:space="preserve">Maire </w:t>
      </w:r>
      <w:r w:rsidRPr="00442BBC">
        <w:rPr>
          <w:i/>
          <w:iCs/>
          <w:highlight w:val="yellow"/>
        </w:rPr>
        <w:t>(ou le Président)</w:t>
      </w:r>
      <w:r w:rsidRPr="002F77B3">
        <w:rPr>
          <w:rFonts w:eastAsia="MS Mincho"/>
          <w:lang w:eastAsia="en-US"/>
        </w:rPr>
        <w:t xml:space="preserve"> certifie sous sa responsabilité le caractère exécutoire de cet acte, informe que le présent arrêté peut faire l’objet d’un recours pour excès de pouvoir devant le Tribunal Administratif d</w:t>
      </w:r>
      <w:r>
        <w:rPr>
          <w:rFonts w:eastAsia="MS Mincho"/>
          <w:lang w:eastAsia="en-US"/>
        </w:rPr>
        <w:t>’Amiens</w:t>
      </w:r>
      <w:r w:rsidRPr="002F77B3">
        <w:rPr>
          <w:rFonts w:eastAsia="MS Mincho"/>
          <w:lang w:eastAsia="en-US"/>
        </w:rPr>
        <w:t xml:space="preserve"> dans un délai de deux mois, à compter de sa publication, le tribunal administratif pouvant être saisi par l’application informatique</w:t>
      </w:r>
      <w:proofErr w:type="gramStart"/>
      <w:r w:rsidRPr="002F77B3">
        <w:rPr>
          <w:rFonts w:eastAsia="MS Mincho"/>
          <w:lang w:eastAsia="en-US"/>
        </w:rPr>
        <w:t xml:space="preserve"> «Télérecours</w:t>
      </w:r>
      <w:proofErr w:type="gramEnd"/>
      <w:r w:rsidRPr="002F77B3">
        <w:rPr>
          <w:rFonts w:eastAsia="MS Mincho"/>
          <w:lang w:eastAsia="en-US"/>
        </w:rPr>
        <w:t xml:space="preserve"> citoyens» accessible par le site Internet www.telerecours.fr.</w:t>
      </w:r>
    </w:p>
    <w:p w14:paraId="7D6FB654" w14:textId="77777777" w:rsidR="000C65FA" w:rsidRPr="002F77B3" w:rsidRDefault="000C65FA" w:rsidP="000C65FA">
      <w:pPr>
        <w:spacing w:line="276" w:lineRule="auto"/>
        <w:jc w:val="both"/>
      </w:pPr>
    </w:p>
    <w:p w14:paraId="41B2BAB6" w14:textId="77777777" w:rsidR="000C65FA" w:rsidRPr="002F77B3" w:rsidRDefault="000C65FA" w:rsidP="000C65FA">
      <w:pPr>
        <w:spacing w:line="276" w:lineRule="auto"/>
        <w:jc w:val="both"/>
      </w:pPr>
    </w:p>
    <w:p w14:paraId="00B1BE40" w14:textId="77777777" w:rsidR="000C65FA" w:rsidRPr="002F77B3" w:rsidRDefault="000C65FA" w:rsidP="000C65FA">
      <w:pPr>
        <w:spacing w:line="276" w:lineRule="auto"/>
        <w:jc w:val="both"/>
      </w:pPr>
    </w:p>
    <w:p w14:paraId="3DDC4077" w14:textId="77777777" w:rsidR="000C65FA" w:rsidRPr="002F77B3" w:rsidRDefault="000C65FA" w:rsidP="000C65FA">
      <w:pPr>
        <w:spacing w:line="276" w:lineRule="auto"/>
        <w:jc w:val="both"/>
      </w:pPr>
    </w:p>
    <w:p w14:paraId="45A1FD4F" w14:textId="77777777" w:rsidR="000C65FA" w:rsidRPr="002F77B3" w:rsidRDefault="000C65FA" w:rsidP="000C65FA">
      <w:pPr>
        <w:spacing w:line="276" w:lineRule="auto"/>
        <w:jc w:val="both"/>
      </w:pPr>
      <w:r w:rsidRPr="002F77B3">
        <w:t>Affiché le :</w:t>
      </w:r>
      <w:r w:rsidRPr="002F77B3">
        <w:tab/>
      </w:r>
      <w:r w:rsidRPr="002F77B3">
        <w:tab/>
      </w:r>
      <w:r w:rsidRPr="002F77B3">
        <w:tab/>
      </w:r>
      <w:r w:rsidRPr="002F77B3">
        <w:tab/>
      </w:r>
      <w:r w:rsidRPr="002F77B3">
        <w:tab/>
        <w:t xml:space="preserve">Fait à </w:t>
      </w:r>
      <w:r w:rsidRPr="00442BBC">
        <w:rPr>
          <w:highlight w:val="yellow"/>
        </w:rPr>
        <w:t>.................,</w:t>
      </w:r>
      <w:r w:rsidRPr="002F77B3">
        <w:t xml:space="preserve"> le </w:t>
      </w:r>
      <w:r w:rsidRPr="00442BBC">
        <w:rPr>
          <w:highlight w:val="yellow"/>
        </w:rPr>
        <w:t>...............</w:t>
      </w:r>
    </w:p>
    <w:p w14:paraId="727F8A1A" w14:textId="77777777" w:rsidR="000C65FA" w:rsidRPr="002F77B3" w:rsidRDefault="000C65FA" w:rsidP="000C65FA">
      <w:pPr>
        <w:spacing w:line="276" w:lineRule="auto"/>
        <w:jc w:val="both"/>
      </w:pPr>
      <w:r w:rsidRPr="00442BBC">
        <w:rPr>
          <w:i/>
          <w:iCs/>
          <w:highlight w:val="yellow"/>
        </w:rPr>
        <w:t>(</w:t>
      </w:r>
      <w:proofErr w:type="gramStart"/>
      <w:r w:rsidRPr="00442BBC">
        <w:rPr>
          <w:i/>
          <w:iCs/>
          <w:highlight w:val="yellow"/>
        </w:rPr>
        <w:t>date</w:t>
      </w:r>
      <w:proofErr w:type="gramEnd"/>
      <w:r w:rsidRPr="00442BBC">
        <w:rPr>
          <w:i/>
          <w:iCs/>
          <w:highlight w:val="yellow"/>
        </w:rPr>
        <w:t xml:space="preserve"> et signature)</w:t>
      </w:r>
      <w:r w:rsidRPr="002F77B3">
        <w:tab/>
      </w:r>
      <w:r w:rsidRPr="002F77B3">
        <w:tab/>
      </w:r>
      <w:r w:rsidRPr="002F77B3">
        <w:tab/>
      </w:r>
      <w:r w:rsidRPr="002F77B3">
        <w:tab/>
        <w:t>Le Maire</w:t>
      </w:r>
      <w:r>
        <w:t xml:space="preserve"> </w:t>
      </w:r>
      <w:r w:rsidRPr="00442BBC">
        <w:rPr>
          <w:i/>
          <w:iCs/>
          <w:highlight w:val="yellow"/>
        </w:rPr>
        <w:t>(ou le Président)</w:t>
      </w:r>
    </w:p>
    <w:p w14:paraId="3BAE76D1" w14:textId="1E23D70D" w:rsidR="000C65FA" w:rsidRDefault="000C65FA"/>
    <w:p w14:paraId="5FFDCC23" w14:textId="044A2C0C" w:rsidR="000C65FA" w:rsidRDefault="000C65FA">
      <w:pPr>
        <w:spacing w:after="160" w:line="259" w:lineRule="auto"/>
      </w:pPr>
      <w:r>
        <w:br w:type="page"/>
      </w:r>
    </w:p>
    <w:p w14:paraId="7606766D" w14:textId="77777777" w:rsidR="000C65FA" w:rsidRPr="000C65FA" w:rsidRDefault="000C65FA" w:rsidP="000C65FA">
      <w:pPr>
        <w:spacing w:line="276" w:lineRule="auto"/>
        <w:jc w:val="center"/>
      </w:pPr>
      <w:r w:rsidRPr="000C65FA">
        <w:rPr>
          <w:b/>
          <w:bCs/>
        </w:rPr>
        <w:lastRenderedPageBreak/>
        <w:t>LISTE DES AGENTS</w:t>
      </w:r>
      <w:r w:rsidRPr="000C65FA">
        <w:t xml:space="preserve"> </w:t>
      </w:r>
      <w:r w:rsidRPr="000C65FA">
        <w:rPr>
          <w:b/>
        </w:rPr>
        <w:t>HABILITATES A CONTROLER LES JUSTIFICATIFS DU PASS SANITAIRE OU DE L’OBLIGATION VACCINALE</w:t>
      </w:r>
    </w:p>
    <w:p w14:paraId="70FA361F" w14:textId="77777777" w:rsidR="000C65FA" w:rsidRPr="000C65FA" w:rsidRDefault="000C65FA" w:rsidP="000C65FA">
      <w:pPr>
        <w:spacing w:line="276" w:lineRule="auto"/>
      </w:pPr>
    </w:p>
    <w:p w14:paraId="49FB2D49" w14:textId="77777777" w:rsidR="000C65FA" w:rsidRPr="000C65FA" w:rsidRDefault="000C65FA" w:rsidP="000C65FA">
      <w:pPr>
        <w:spacing w:line="276" w:lineRule="auto"/>
        <w:jc w:val="both"/>
      </w:pPr>
      <w:r w:rsidRPr="000C65FA">
        <w:t xml:space="preserve">Par le présent arrêté, sont habilités à contrôler les justificatifs du </w:t>
      </w:r>
      <w:proofErr w:type="spellStart"/>
      <w:r w:rsidRPr="000C65FA">
        <w:t>pass</w:t>
      </w:r>
      <w:proofErr w:type="spellEnd"/>
      <w:r w:rsidRPr="000C65FA">
        <w:t xml:space="preserve"> sanitaire ou de l’obligation vaccinale les agents suivants :</w:t>
      </w:r>
    </w:p>
    <w:p w14:paraId="44052442" w14:textId="77777777" w:rsidR="000C65FA" w:rsidRPr="000C65FA" w:rsidRDefault="000C65FA" w:rsidP="000C65FA">
      <w:pPr>
        <w:spacing w:line="276" w:lineRule="auto"/>
        <w:jc w:val="both"/>
      </w:pPr>
    </w:p>
    <w:p w14:paraId="144CD08B" w14:textId="77777777" w:rsidR="000C65FA" w:rsidRPr="000C65FA" w:rsidRDefault="000C65FA" w:rsidP="000C65FA">
      <w:pPr>
        <w:numPr>
          <w:ilvl w:val="0"/>
          <w:numId w:val="1"/>
        </w:numPr>
        <w:spacing w:line="276" w:lineRule="auto"/>
        <w:jc w:val="both"/>
      </w:pPr>
      <w:r w:rsidRPr="000C65FA">
        <w:t xml:space="preserve">Monsieur </w:t>
      </w:r>
      <w:r w:rsidRPr="000C65FA">
        <w:rPr>
          <w:i/>
          <w:iCs/>
        </w:rPr>
        <w:t>(ou Madame)</w:t>
      </w:r>
      <w:r w:rsidRPr="000C65FA">
        <w:t xml:space="preserve"> … </w:t>
      </w:r>
      <w:r w:rsidRPr="000C65FA">
        <w:rPr>
          <w:i/>
          <w:iCs/>
        </w:rPr>
        <w:t>(précisez le grade et les fonctions)</w:t>
      </w:r>
      <w:r w:rsidRPr="000C65FA">
        <w:t xml:space="preserve"> pour </w:t>
      </w:r>
      <w:r w:rsidRPr="000C65FA">
        <w:rPr>
          <w:i/>
          <w:iCs/>
        </w:rPr>
        <w:t>(précisez le ou les situations concernées par le contrôle qu’il assure) </w:t>
      </w:r>
      <w:r w:rsidRPr="000C65FA">
        <w:t>;</w:t>
      </w:r>
    </w:p>
    <w:p w14:paraId="61E932CB" w14:textId="77777777" w:rsidR="000C65FA" w:rsidRPr="000C65FA" w:rsidRDefault="000C65FA" w:rsidP="000C65FA">
      <w:pPr>
        <w:numPr>
          <w:ilvl w:val="0"/>
          <w:numId w:val="1"/>
        </w:numPr>
        <w:spacing w:line="276" w:lineRule="auto"/>
        <w:jc w:val="both"/>
      </w:pPr>
      <w:r w:rsidRPr="000C65FA">
        <w:t>…</w:t>
      </w:r>
    </w:p>
    <w:p w14:paraId="4A4E8ED4" w14:textId="77777777" w:rsidR="000C65FA" w:rsidRPr="000C65FA" w:rsidRDefault="000C65FA" w:rsidP="000C65FA">
      <w:pPr>
        <w:spacing w:line="276" w:lineRule="auto"/>
        <w:jc w:val="both"/>
      </w:pPr>
    </w:p>
    <w:p w14:paraId="42CA493C" w14:textId="77777777" w:rsidR="000C65FA" w:rsidRPr="000C65FA" w:rsidRDefault="000C65FA" w:rsidP="000C65FA">
      <w:pPr>
        <w:spacing w:line="276" w:lineRule="auto"/>
        <w:jc w:val="both"/>
      </w:pPr>
      <w:r w:rsidRPr="000C65FA">
        <w:t>Un registre détaillant les personnes ainsi habilitées et la date de leur habilitation, ainsi que les jours et horaires des contrôles effectués par ces personnes est rédigé et complété par l’autorité territoriale.</w:t>
      </w:r>
    </w:p>
    <w:p w14:paraId="2C888D72" w14:textId="77777777" w:rsidR="000C65FA" w:rsidRDefault="000C65FA"/>
    <w:sectPr w:rsidR="000C6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D4644"/>
    <w:multiLevelType w:val="hybridMultilevel"/>
    <w:tmpl w:val="62641C1A"/>
    <w:lvl w:ilvl="0" w:tplc="9B743B08">
      <w:start w:val="5"/>
      <w:numFmt w:val="bullet"/>
      <w:lvlText w:val="-"/>
      <w:lvlJc w:val="left"/>
      <w:pPr>
        <w:ind w:left="720" w:hanging="360"/>
      </w:pPr>
      <w:rPr>
        <w:rFonts w:ascii="Trebuchet MS" w:eastAsia="MS Mincho"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D6028D"/>
    <w:multiLevelType w:val="hybridMultilevel"/>
    <w:tmpl w:val="35AC6CB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FA"/>
    <w:rsid w:val="000C65FA"/>
    <w:rsid w:val="00B33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90D5"/>
  <w15:chartTrackingRefBased/>
  <w15:docId w15:val="{EAA6AF45-11FA-4887-A61B-B95E7A60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5F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C65FA"/>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884</Words>
  <Characters>4867</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BEYNEY Geoffrey</dc:creator>
  <cp:keywords/>
  <dc:description/>
  <cp:lastModifiedBy>BEYNEY Geoffrey</cp:lastModifiedBy>
  <cp:revision>2</cp:revision>
  <dcterms:created xsi:type="dcterms:W3CDTF">2021-08-11T08:22:00Z</dcterms:created>
  <dcterms:modified xsi:type="dcterms:W3CDTF">2021-08-12T08:19:00Z</dcterms:modified>
</cp:coreProperties>
</file>